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3DB3" w14:textId="77777777" w:rsidR="006C2E97" w:rsidRDefault="001F3FF2" w:rsidP="001F3FF2">
      <w:pPr>
        <w:rPr>
          <w:rFonts w:ascii="Times New Roman" w:hAnsi="Times New Roman" w:cs="Times New Roman"/>
          <w:b/>
          <w:sz w:val="24"/>
          <w:szCs w:val="24"/>
        </w:rPr>
      </w:pPr>
      <w:r w:rsidRPr="0031167A">
        <w:rPr>
          <w:rFonts w:ascii="Times New Roman" w:hAnsi="Times New Roman" w:cs="Times New Roman"/>
          <w:b/>
          <w:sz w:val="24"/>
          <w:szCs w:val="24"/>
        </w:rPr>
        <w:t>Informace k rozpisu rozpočtu přímých nákladů na vzdělávání v roce 20</w:t>
      </w:r>
      <w:r w:rsidR="004C711D" w:rsidRPr="0031167A">
        <w:rPr>
          <w:rFonts w:ascii="Times New Roman" w:hAnsi="Times New Roman" w:cs="Times New Roman"/>
          <w:b/>
          <w:sz w:val="24"/>
          <w:szCs w:val="24"/>
        </w:rPr>
        <w:t>2</w:t>
      </w:r>
      <w:r w:rsidR="00585F4E">
        <w:rPr>
          <w:rFonts w:ascii="Times New Roman" w:hAnsi="Times New Roman" w:cs="Times New Roman"/>
          <w:b/>
          <w:sz w:val="24"/>
          <w:szCs w:val="24"/>
        </w:rPr>
        <w:t>1</w:t>
      </w:r>
    </w:p>
    <w:p w14:paraId="37ADD113" w14:textId="77777777" w:rsidR="00C83FCC" w:rsidRPr="00C83FCC" w:rsidRDefault="00C83FCC" w:rsidP="001F3FF2">
      <w:pPr>
        <w:rPr>
          <w:rFonts w:ascii="Times New Roman" w:hAnsi="Times New Roman" w:cs="Times New Roman"/>
          <w:sz w:val="24"/>
          <w:szCs w:val="24"/>
        </w:rPr>
      </w:pPr>
      <w:r w:rsidRPr="00C83FCC">
        <w:rPr>
          <w:rFonts w:ascii="Times New Roman" w:hAnsi="Times New Roman" w:cs="Times New Roman"/>
          <w:sz w:val="24"/>
          <w:szCs w:val="24"/>
        </w:rPr>
        <w:t>Č.j.</w:t>
      </w:r>
      <w:r w:rsidR="00CE41CB" w:rsidRPr="00CE41CB">
        <w:t xml:space="preserve"> </w:t>
      </w:r>
      <w:r w:rsidR="00CE41CB" w:rsidRPr="00CE41CB">
        <w:rPr>
          <w:rFonts w:ascii="Times New Roman" w:hAnsi="Times New Roman" w:cs="Times New Roman"/>
          <w:sz w:val="24"/>
          <w:szCs w:val="24"/>
        </w:rPr>
        <w:t>KULK  16596/2021</w:t>
      </w:r>
    </w:p>
    <w:p w14:paraId="223A969A" w14:textId="77777777" w:rsidR="00C83FCC" w:rsidRPr="00C83FCC" w:rsidRDefault="00C83FCC" w:rsidP="001F3FF2">
      <w:pPr>
        <w:rPr>
          <w:rFonts w:ascii="Times New Roman" w:hAnsi="Times New Roman" w:cs="Times New Roman"/>
          <w:sz w:val="24"/>
          <w:szCs w:val="24"/>
        </w:rPr>
      </w:pPr>
      <w:r w:rsidRPr="00C83FCC">
        <w:rPr>
          <w:rFonts w:ascii="Times New Roman" w:hAnsi="Times New Roman" w:cs="Times New Roman"/>
          <w:sz w:val="24"/>
          <w:szCs w:val="24"/>
        </w:rPr>
        <w:t>Dne: 8. 3. 2021</w:t>
      </w:r>
    </w:p>
    <w:p w14:paraId="3CB05D79" w14:textId="77777777" w:rsidR="00C83FCC" w:rsidRPr="0031167A" w:rsidRDefault="00C83FCC" w:rsidP="001F3FF2">
      <w:pPr>
        <w:rPr>
          <w:rFonts w:ascii="Times New Roman" w:hAnsi="Times New Roman" w:cs="Times New Roman"/>
          <w:b/>
          <w:sz w:val="24"/>
          <w:szCs w:val="24"/>
        </w:rPr>
      </w:pPr>
    </w:p>
    <w:p w14:paraId="54FEC864" w14:textId="77777777" w:rsidR="0031167A" w:rsidRDefault="009B24BC" w:rsidP="00E21808">
      <w:pPr>
        <w:jc w:val="both"/>
        <w:rPr>
          <w:rFonts w:ascii="Times New Roman" w:hAnsi="Times New Roman" w:cs="Times New Roman"/>
          <w:sz w:val="24"/>
          <w:szCs w:val="24"/>
        </w:rPr>
      </w:pPr>
      <w:r w:rsidRPr="009B24BC">
        <w:rPr>
          <w:rFonts w:ascii="Times New Roman" w:hAnsi="Times New Roman" w:cs="Times New Roman"/>
          <w:sz w:val="24"/>
          <w:szCs w:val="24"/>
        </w:rPr>
        <w:t xml:space="preserve">Odbor školství, mládeže, tělovýchovy a sportu Krajského úřadu Libereckého kraje (dále jen OŠMTS) </w:t>
      </w:r>
      <w:r w:rsidR="00406833">
        <w:rPr>
          <w:rFonts w:ascii="Times New Roman" w:hAnsi="Times New Roman" w:cs="Times New Roman"/>
          <w:sz w:val="24"/>
          <w:szCs w:val="24"/>
        </w:rPr>
        <w:t>vydal</w:t>
      </w:r>
      <w:r w:rsidRPr="009B24BC">
        <w:rPr>
          <w:rFonts w:ascii="Times New Roman" w:hAnsi="Times New Roman" w:cs="Times New Roman"/>
          <w:sz w:val="24"/>
          <w:szCs w:val="24"/>
        </w:rPr>
        <w:t xml:space="preserve"> v přenesené působnosti Krajskou metodiku rozpisu přímých výdajů právnických osob vykonávajících činnost škol a školských zařízení zřizovaných obcemi</w:t>
      </w:r>
      <w:r w:rsidR="00074908">
        <w:rPr>
          <w:rFonts w:ascii="Times New Roman" w:hAnsi="Times New Roman" w:cs="Times New Roman"/>
          <w:sz w:val="24"/>
          <w:szCs w:val="24"/>
        </w:rPr>
        <w:br/>
      </w:r>
      <w:r w:rsidRPr="009B24BC">
        <w:rPr>
          <w:rFonts w:ascii="Times New Roman" w:hAnsi="Times New Roman" w:cs="Times New Roman"/>
          <w:sz w:val="24"/>
          <w:szCs w:val="24"/>
        </w:rPr>
        <w:t>v Libereckém kraji a Libereckým krajem (dále školy a školská zařízení) pro rok 202</w:t>
      </w:r>
      <w:r w:rsidR="00404B79">
        <w:rPr>
          <w:rFonts w:ascii="Times New Roman" w:hAnsi="Times New Roman" w:cs="Times New Roman"/>
          <w:sz w:val="24"/>
          <w:szCs w:val="24"/>
        </w:rPr>
        <w:t>1</w:t>
      </w:r>
      <w:r w:rsidR="00BC2286">
        <w:rPr>
          <w:rFonts w:ascii="Times New Roman" w:hAnsi="Times New Roman" w:cs="Times New Roman"/>
          <w:sz w:val="24"/>
          <w:szCs w:val="24"/>
        </w:rPr>
        <w:t xml:space="preserve"> (dále Krajská metodika)</w:t>
      </w:r>
      <w:r>
        <w:rPr>
          <w:rFonts w:ascii="Times New Roman" w:hAnsi="Times New Roman" w:cs="Times New Roman"/>
          <w:sz w:val="24"/>
          <w:szCs w:val="24"/>
        </w:rPr>
        <w:t>,</w:t>
      </w:r>
      <w:r w:rsidRPr="009B24BC">
        <w:rPr>
          <w:rFonts w:ascii="Times New Roman" w:hAnsi="Times New Roman" w:cs="Times New Roman"/>
          <w:sz w:val="24"/>
          <w:szCs w:val="24"/>
        </w:rPr>
        <w:t xml:space="preserve"> </w:t>
      </w:r>
      <w:r w:rsidR="0031167A" w:rsidRPr="0031167A">
        <w:rPr>
          <w:rFonts w:ascii="Times New Roman" w:hAnsi="Times New Roman" w:cs="Times New Roman"/>
          <w:sz w:val="24"/>
          <w:szCs w:val="24"/>
        </w:rPr>
        <w:t>kter</w:t>
      </w:r>
      <w:r w:rsidR="00406833">
        <w:rPr>
          <w:rFonts w:ascii="Times New Roman" w:hAnsi="Times New Roman" w:cs="Times New Roman"/>
          <w:sz w:val="24"/>
          <w:szCs w:val="24"/>
        </w:rPr>
        <w:t>ou</w:t>
      </w:r>
      <w:r w:rsidR="0031167A" w:rsidRPr="0031167A">
        <w:rPr>
          <w:rFonts w:ascii="Times New Roman" w:hAnsi="Times New Roman" w:cs="Times New Roman"/>
          <w:sz w:val="24"/>
          <w:szCs w:val="24"/>
        </w:rPr>
        <w:t xml:space="preserve"> </w:t>
      </w:r>
      <w:r w:rsidR="00406833">
        <w:rPr>
          <w:rFonts w:ascii="Times New Roman" w:hAnsi="Times New Roman" w:cs="Times New Roman"/>
          <w:sz w:val="24"/>
          <w:szCs w:val="24"/>
        </w:rPr>
        <w:t>zveřejnil</w:t>
      </w:r>
      <w:r w:rsidR="0031167A" w:rsidRPr="0031167A">
        <w:rPr>
          <w:rFonts w:ascii="Times New Roman" w:hAnsi="Times New Roman" w:cs="Times New Roman"/>
          <w:sz w:val="24"/>
          <w:szCs w:val="24"/>
        </w:rPr>
        <w:t xml:space="preserve"> dne </w:t>
      </w:r>
      <w:r w:rsidR="00585F4E">
        <w:rPr>
          <w:rFonts w:ascii="Times New Roman" w:hAnsi="Times New Roman" w:cs="Times New Roman"/>
          <w:sz w:val="24"/>
          <w:szCs w:val="24"/>
        </w:rPr>
        <w:t>3</w:t>
      </w:r>
      <w:r w:rsidR="0031167A" w:rsidRPr="0031167A">
        <w:rPr>
          <w:rFonts w:ascii="Times New Roman" w:hAnsi="Times New Roman" w:cs="Times New Roman"/>
          <w:sz w:val="24"/>
          <w:szCs w:val="24"/>
        </w:rPr>
        <w:t xml:space="preserve">. </w:t>
      </w:r>
      <w:r w:rsidR="00404AFE">
        <w:rPr>
          <w:rFonts w:ascii="Times New Roman" w:hAnsi="Times New Roman" w:cs="Times New Roman"/>
          <w:sz w:val="24"/>
          <w:szCs w:val="24"/>
        </w:rPr>
        <w:t>3</w:t>
      </w:r>
      <w:r w:rsidR="0031167A" w:rsidRPr="0031167A">
        <w:rPr>
          <w:rFonts w:ascii="Times New Roman" w:hAnsi="Times New Roman" w:cs="Times New Roman"/>
          <w:sz w:val="24"/>
          <w:szCs w:val="24"/>
        </w:rPr>
        <w:t>. 20</w:t>
      </w:r>
      <w:r w:rsidR="00404AFE">
        <w:rPr>
          <w:rFonts w:ascii="Times New Roman" w:hAnsi="Times New Roman" w:cs="Times New Roman"/>
          <w:sz w:val="24"/>
          <w:szCs w:val="24"/>
        </w:rPr>
        <w:t>2</w:t>
      </w:r>
      <w:r w:rsidR="00585F4E">
        <w:rPr>
          <w:rFonts w:ascii="Times New Roman" w:hAnsi="Times New Roman" w:cs="Times New Roman"/>
          <w:sz w:val="24"/>
          <w:szCs w:val="24"/>
        </w:rPr>
        <w:t>1</w:t>
      </w:r>
      <w:r w:rsidR="0031167A" w:rsidRPr="0031167A">
        <w:rPr>
          <w:rFonts w:ascii="Times New Roman" w:hAnsi="Times New Roman" w:cs="Times New Roman"/>
          <w:sz w:val="24"/>
          <w:szCs w:val="24"/>
        </w:rPr>
        <w:t xml:space="preserve"> (</w:t>
      </w:r>
      <w:r w:rsidR="00F83953" w:rsidRPr="00F83953">
        <w:rPr>
          <w:rFonts w:ascii="Times New Roman" w:hAnsi="Times New Roman" w:cs="Times New Roman"/>
          <w:sz w:val="24"/>
          <w:szCs w:val="24"/>
        </w:rPr>
        <w:t>KULK  15637/2021</w:t>
      </w:r>
      <w:r w:rsidR="0031167A" w:rsidRPr="0031167A">
        <w:rPr>
          <w:rFonts w:ascii="Times New Roman" w:hAnsi="Times New Roman" w:cs="Times New Roman"/>
          <w:sz w:val="24"/>
          <w:szCs w:val="24"/>
        </w:rPr>
        <w:t>) na informačním</w:t>
      </w:r>
      <w:r w:rsidR="00074908">
        <w:rPr>
          <w:rFonts w:ascii="Times New Roman" w:hAnsi="Times New Roman" w:cs="Times New Roman"/>
          <w:sz w:val="24"/>
          <w:szCs w:val="24"/>
        </w:rPr>
        <w:br/>
      </w:r>
      <w:r w:rsidR="0031167A" w:rsidRPr="0031167A">
        <w:rPr>
          <w:rFonts w:ascii="Times New Roman" w:hAnsi="Times New Roman" w:cs="Times New Roman"/>
          <w:sz w:val="24"/>
          <w:szCs w:val="24"/>
        </w:rPr>
        <w:t>a vzdělávacím portále Libereckého kraje v sekci Příspěvky &gt; Management &gt; Ekonomika &gt; Rozpočet regionálního školství</w:t>
      </w:r>
      <w:r w:rsidR="00440BFC">
        <w:rPr>
          <w:rFonts w:ascii="Times New Roman" w:hAnsi="Times New Roman" w:cs="Times New Roman"/>
          <w:sz w:val="24"/>
          <w:szCs w:val="24"/>
        </w:rPr>
        <w:t>.</w:t>
      </w:r>
      <w:r w:rsidR="0031167A" w:rsidRPr="0031167A">
        <w:rPr>
          <w:rFonts w:ascii="Times New Roman" w:hAnsi="Times New Roman" w:cs="Times New Roman"/>
          <w:sz w:val="24"/>
          <w:szCs w:val="24"/>
        </w:rPr>
        <w:t xml:space="preserve"> </w:t>
      </w:r>
      <w:r>
        <w:rPr>
          <w:rFonts w:ascii="Times New Roman" w:hAnsi="Times New Roman" w:cs="Times New Roman"/>
          <w:sz w:val="24"/>
          <w:szCs w:val="24"/>
        </w:rPr>
        <w:t xml:space="preserve">Její nedílnou součástí je Soustava krajských normativů. </w:t>
      </w:r>
    </w:p>
    <w:p w14:paraId="4D5A9193" w14:textId="77777777" w:rsidR="00E21808" w:rsidRPr="00E21808" w:rsidRDefault="00E21808" w:rsidP="00E21808">
      <w:pPr>
        <w:jc w:val="both"/>
        <w:rPr>
          <w:rFonts w:ascii="Times New Roman" w:hAnsi="Times New Roman" w:cs="Times New Roman"/>
          <w:sz w:val="24"/>
          <w:szCs w:val="24"/>
        </w:rPr>
      </w:pPr>
      <w:r w:rsidRPr="00E21808">
        <w:rPr>
          <w:rFonts w:ascii="Times New Roman" w:hAnsi="Times New Roman" w:cs="Times New Roman"/>
          <w:sz w:val="24"/>
          <w:szCs w:val="24"/>
        </w:rPr>
        <w:t xml:space="preserve">Od roku 2020 se na základě zákona č. 101/2017 Sb. ve znění zákona 167/2018 Sb. </w:t>
      </w:r>
      <w:r w:rsidR="00790FDE">
        <w:rPr>
          <w:rFonts w:ascii="Times New Roman" w:hAnsi="Times New Roman" w:cs="Times New Roman"/>
          <w:sz w:val="24"/>
          <w:szCs w:val="24"/>
        </w:rPr>
        <w:t>změnil</w:t>
      </w:r>
      <w:r w:rsidRPr="00E21808">
        <w:rPr>
          <w:rFonts w:ascii="Times New Roman" w:hAnsi="Times New Roman" w:cs="Times New Roman"/>
          <w:sz w:val="24"/>
          <w:szCs w:val="24"/>
        </w:rPr>
        <w:t xml:space="preserve"> normativní systém financování škol a školských zařízení zřizovaných krajem, obcí, nebo dobrovolným svazkem obcí na tzv. </w:t>
      </w:r>
      <w:r w:rsidRPr="008A10F3">
        <w:rPr>
          <w:rFonts w:ascii="Times New Roman" w:hAnsi="Times New Roman" w:cs="Times New Roman"/>
          <w:b/>
          <w:sz w:val="24"/>
          <w:szCs w:val="24"/>
        </w:rPr>
        <w:t>normativně nákladový systém financování</w:t>
      </w:r>
      <w:r w:rsidRPr="00E21808">
        <w:rPr>
          <w:rFonts w:ascii="Times New Roman" w:hAnsi="Times New Roman" w:cs="Times New Roman"/>
          <w:sz w:val="24"/>
          <w:szCs w:val="24"/>
        </w:rPr>
        <w:t>.</w:t>
      </w:r>
    </w:p>
    <w:p w14:paraId="268F87CD" w14:textId="77777777" w:rsidR="00E21808" w:rsidRDefault="00A14369" w:rsidP="00E21808">
      <w:pPr>
        <w:jc w:val="both"/>
        <w:rPr>
          <w:rFonts w:ascii="Times New Roman" w:hAnsi="Times New Roman" w:cs="Times New Roman"/>
          <w:sz w:val="24"/>
          <w:szCs w:val="24"/>
        </w:rPr>
      </w:pPr>
      <w:r>
        <w:rPr>
          <w:rFonts w:ascii="Times New Roman" w:hAnsi="Times New Roman" w:cs="Times New Roman"/>
          <w:sz w:val="24"/>
          <w:szCs w:val="24"/>
        </w:rPr>
        <w:t xml:space="preserve">V letošním roce </w:t>
      </w:r>
      <w:r w:rsidR="00C1601D">
        <w:rPr>
          <w:rFonts w:ascii="Times New Roman" w:hAnsi="Times New Roman" w:cs="Times New Roman"/>
          <w:sz w:val="24"/>
          <w:szCs w:val="24"/>
        </w:rPr>
        <w:t xml:space="preserve">již podruhé </w:t>
      </w:r>
      <w:r w:rsidR="00E21808" w:rsidRPr="00E21808">
        <w:rPr>
          <w:rFonts w:ascii="Times New Roman" w:hAnsi="Times New Roman" w:cs="Times New Roman"/>
          <w:sz w:val="24"/>
          <w:szCs w:val="24"/>
        </w:rPr>
        <w:t>Ministerstvo školství, mládeže a tělovýchovy</w:t>
      </w:r>
      <w:r w:rsidR="00E21808">
        <w:rPr>
          <w:rFonts w:ascii="Times New Roman" w:hAnsi="Times New Roman" w:cs="Times New Roman"/>
          <w:sz w:val="24"/>
          <w:szCs w:val="24"/>
        </w:rPr>
        <w:t xml:space="preserve"> (dále MŠMT)</w:t>
      </w:r>
      <w:r w:rsidR="00E21808" w:rsidRPr="00E21808">
        <w:rPr>
          <w:rFonts w:ascii="Times New Roman" w:hAnsi="Times New Roman" w:cs="Times New Roman"/>
          <w:sz w:val="24"/>
          <w:szCs w:val="24"/>
        </w:rPr>
        <w:t xml:space="preserve"> stanovilo pro jednotlivé právnické osoby vykonávající činnost školy nebo školského zařízení uvedené v § 161 odst. 1 školského zákona, tj. pro mateřské školy, základní školy, střední školy, konzervatoře, vyšší odborné školy, základní umělecké školy a pro pedagogickou práci školních družin, výši finančních prostředků na vzdělávání a školské služby podle § 161 odst. 3 písm. a) až h) a § 161 odst. 4 na kalendářní rok.</w:t>
      </w:r>
    </w:p>
    <w:p w14:paraId="6B597D51" w14:textId="77777777" w:rsidR="008022DB" w:rsidRPr="008022DB" w:rsidRDefault="008022DB" w:rsidP="008022DB">
      <w:pPr>
        <w:rPr>
          <w:rFonts w:ascii="Times New Roman" w:hAnsi="Times New Roman" w:cs="Times New Roman"/>
          <w:sz w:val="24"/>
          <w:szCs w:val="24"/>
        </w:rPr>
      </w:pPr>
      <w:r w:rsidRPr="008022DB">
        <w:rPr>
          <w:rFonts w:ascii="Times New Roman" w:hAnsi="Times New Roman" w:cs="Times New Roman"/>
          <w:sz w:val="24"/>
          <w:szCs w:val="24"/>
        </w:rPr>
        <w:t>Finanční prostředky pro školy a pedagogickou práci školních družin souhrnně pro Liberecký kraj jsou pro rok 202</w:t>
      </w:r>
      <w:r w:rsidR="00805DBE">
        <w:rPr>
          <w:rFonts w:ascii="Times New Roman" w:hAnsi="Times New Roman" w:cs="Times New Roman"/>
          <w:sz w:val="24"/>
          <w:szCs w:val="24"/>
        </w:rPr>
        <w:t>1</w:t>
      </w:r>
      <w:r w:rsidRPr="008022DB">
        <w:rPr>
          <w:rFonts w:ascii="Times New Roman" w:hAnsi="Times New Roman" w:cs="Times New Roman"/>
          <w:sz w:val="24"/>
          <w:szCs w:val="24"/>
        </w:rPr>
        <w:t xml:space="preserve"> stanoveny následovně: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2"/>
        <w:gridCol w:w="2090"/>
        <w:gridCol w:w="2703"/>
        <w:gridCol w:w="1390"/>
        <w:gridCol w:w="1337"/>
      </w:tblGrid>
      <w:tr w:rsidR="008022DB" w:rsidRPr="008022DB" w14:paraId="2CF8BA7A" w14:textId="77777777" w:rsidTr="00813C87">
        <w:trPr>
          <w:trHeight w:val="283"/>
          <w:tblHeader/>
        </w:trPr>
        <w:tc>
          <w:tcPr>
            <w:tcW w:w="857" w:type="pct"/>
            <w:noWrap/>
            <w:vAlign w:val="center"/>
            <w:hideMark/>
          </w:tcPr>
          <w:p w14:paraId="63296EF4" w14:textId="77777777" w:rsidR="008022DB" w:rsidRPr="00582D58" w:rsidRDefault="008022DB" w:rsidP="00C92C34">
            <w:pPr>
              <w:rPr>
                <w:rFonts w:ascii="Times New Roman" w:hAnsi="Times New Roman" w:cs="Times New Roman"/>
                <w:bCs/>
                <w:sz w:val="20"/>
                <w:szCs w:val="24"/>
              </w:rPr>
            </w:pPr>
          </w:p>
        </w:tc>
        <w:tc>
          <w:tcPr>
            <w:tcW w:w="1159" w:type="pct"/>
            <w:noWrap/>
            <w:vAlign w:val="center"/>
            <w:hideMark/>
          </w:tcPr>
          <w:p w14:paraId="47928173" w14:textId="77777777" w:rsidR="008022DB" w:rsidRPr="00582D58" w:rsidRDefault="008022DB" w:rsidP="00C92C34">
            <w:pPr>
              <w:jc w:val="center"/>
              <w:rPr>
                <w:rFonts w:ascii="Times New Roman" w:hAnsi="Times New Roman" w:cs="Times New Roman"/>
                <w:b/>
                <w:bCs/>
                <w:sz w:val="20"/>
                <w:szCs w:val="24"/>
              </w:rPr>
            </w:pPr>
            <w:r w:rsidRPr="00582D58">
              <w:rPr>
                <w:rFonts w:ascii="Times New Roman" w:hAnsi="Times New Roman" w:cs="Times New Roman"/>
                <w:b/>
                <w:bCs/>
                <w:sz w:val="20"/>
                <w:szCs w:val="24"/>
              </w:rPr>
              <w:t>NIV celkem v Kč</w:t>
            </w:r>
          </w:p>
        </w:tc>
        <w:tc>
          <w:tcPr>
            <w:tcW w:w="1497" w:type="pct"/>
            <w:noWrap/>
            <w:vAlign w:val="center"/>
            <w:hideMark/>
          </w:tcPr>
          <w:p w14:paraId="5A7CE773" w14:textId="77777777" w:rsidR="008022DB" w:rsidRPr="00582D58" w:rsidRDefault="008022DB" w:rsidP="00C92C34">
            <w:pPr>
              <w:jc w:val="center"/>
              <w:rPr>
                <w:rFonts w:ascii="Times New Roman" w:hAnsi="Times New Roman" w:cs="Times New Roman"/>
                <w:b/>
                <w:bCs/>
                <w:sz w:val="20"/>
                <w:szCs w:val="24"/>
              </w:rPr>
            </w:pPr>
            <w:r w:rsidRPr="00582D58">
              <w:rPr>
                <w:rFonts w:ascii="Times New Roman" w:hAnsi="Times New Roman" w:cs="Times New Roman"/>
                <w:b/>
                <w:bCs/>
                <w:sz w:val="20"/>
                <w:szCs w:val="24"/>
              </w:rPr>
              <w:t>Prostředky na platy v Kč</w:t>
            </w:r>
          </w:p>
        </w:tc>
        <w:tc>
          <w:tcPr>
            <w:tcW w:w="743" w:type="pct"/>
            <w:noWrap/>
            <w:vAlign w:val="center"/>
            <w:hideMark/>
          </w:tcPr>
          <w:p w14:paraId="04C81C58" w14:textId="77777777" w:rsidR="008022DB" w:rsidRPr="00582D58" w:rsidRDefault="008022DB" w:rsidP="00C92C34">
            <w:pPr>
              <w:jc w:val="center"/>
              <w:rPr>
                <w:rFonts w:ascii="Times New Roman" w:hAnsi="Times New Roman" w:cs="Times New Roman"/>
                <w:b/>
                <w:bCs/>
                <w:sz w:val="20"/>
                <w:szCs w:val="24"/>
              </w:rPr>
            </w:pPr>
            <w:r w:rsidRPr="00582D58">
              <w:rPr>
                <w:rFonts w:ascii="Times New Roman" w:hAnsi="Times New Roman" w:cs="Times New Roman"/>
                <w:b/>
                <w:bCs/>
                <w:sz w:val="20"/>
                <w:szCs w:val="24"/>
              </w:rPr>
              <w:t>ONIV v Kč</w:t>
            </w:r>
          </w:p>
        </w:tc>
        <w:tc>
          <w:tcPr>
            <w:tcW w:w="743" w:type="pct"/>
            <w:noWrap/>
            <w:vAlign w:val="center"/>
            <w:hideMark/>
          </w:tcPr>
          <w:p w14:paraId="0BF40F39" w14:textId="77777777" w:rsidR="008022DB" w:rsidRPr="00582D58" w:rsidRDefault="008022DB" w:rsidP="00C92C34">
            <w:pPr>
              <w:jc w:val="center"/>
              <w:rPr>
                <w:rFonts w:ascii="Times New Roman" w:hAnsi="Times New Roman" w:cs="Times New Roman"/>
                <w:b/>
                <w:bCs/>
                <w:sz w:val="20"/>
                <w:szCs w:val="24"/>
              </w:rPr>
            </w:pPr>
            <w:r w:rsidRPr="00582D58">
              <w:rPr>
                <w:rFonts w:ascii="Times New Roman" w:hAnsi="Times New Roman" w:cs="Times New Roman"/>
                <w:b/>
                <w:bCs/>
                <w:sz w:val="20"/>
                <w:szCs w:val="24"/>
              </w:rPr>
              <w:t xml:space="preserve">Počet </w:t>
            </w:r>
            <w:proofErr w:type="spellStart"/>
            <w:r w:rsidRPr="00582D58">
              <w:rPr>
                <w:rFonts w:ascii="Times New Roman" w:hAnsi="Times New Roman" w:cs="Times New Roman"/>
                <w:b/>
                <w:bCs/>
                <w:sz w:val="20"/>
                <w:szCs w:val="24"/>
              </w:rPr>
              <w:t>zam</w:t>
            </w:r>
            <w:proofErr w:type="spellEnd"/>
            <w:r w:rsidRPr="00582D58">
              <w:rPr>
                <w:rFonts w:ascii="Times New Roman" w:hAnsi="Times New Roman" w:cs="Times New Roman"/>
                <w:b/>
                <w:bCs/>
                <w:sz w:val="20"/>
                <w:szCs w:val="24"/>
              </w:rPr>
              <w:t>.</w:t>
            </w:r>
          </w:p>
        </w:tc>
      </w:tr>
      <w:tr w:rsidR="00582D58" w:rsidRPr="008022DB" w14:paraId="3F8A98FD" w14:textId="77777777" w:rsidTr="000741B5">
        <w:trPr>
          <w:trHeight w:val="352"/>
        </w:trPr>
        <w:tc>
          <w:tcPr>
            <w:tcW w:w="857" w:type="pct"/>
            <w:shd w:val="clear" w:color="auto" w:fill="FFFFFF"/>
            <w:noWrap/>
            <w:vAlign w:val="center"/>
            <w:hideMark/>
          </w:tcPr>
          <w:p w14:paraId="5D1699B5" w14:textId="77777777" w:rsidR="008022DB" w:rsidRPr="000741B5" w:rsidRDefault="008022DB" w:rsidP="000741B5">
            <w:pPr>
              <w:keepNext/>
              <w:spacing w:after="0" w:line="240" w:lineRule="auto"/>
              <w:jc w:val="right"/>
              <w:rPr>
                <w:rFonts w:ascii="Times New Roman" w:hAnsi="Times New Roman" w:cs="Times New Roman"/>
                <w:b/>
                <w:bCs/>
                <w:color w:val="000000"/>
                <w:sz w:val="20"/>
                <w:szCs w:val="24"/>
              </w:rPr>
            </w:pPr>
            <w:r w:rsidRPr="000741B5">
              <w:rPr>
                <w:rFonts w:ascii="Times New Roman" w:hAnsi="Times New Roman" w:cs="Times New Roman"/>
                <w:b/>
                <w:bCs/>
                <w:color w:val="000000"/>
                <w:sz w:val="20"/>
                <w:szCs w:val="24"/>
              </w:rPr>
              <w:t>Liberecký kraj</w:t>
            </w:r>
          </w:p>
        </w:tc>
        <w:tc>
          <w:tcPr>
            <w:tcW w:w="1159" w:type="pct"/>
            <w:shd w:val="clear" w:color="auto" w:fill="auto"/>
            <w:noWrap/>
            <w:vAlign w:val="center"/>
          </w:tcPr>
          <w:p w14:paraId="4713A838" w14:textId="77777777" w:rsidR="008022DB" w:rsidRPr="002320EE" w:rsidRDefault="00C62FE2" w:rsidP="000741B5">
            <w:pPr>
              <w:keepNext/>
              <w:spacing w:after="0" w:line="240" w:lineRule="auto"/>
              <w:jc w:val="right"/>
              <w:rPr>
                <w:rFonts w:ascii="Times New Roman" w:hAnsi="Times New Roman" w:cs="Times New Roman"/>
                <w:bCs/>
                <w:color w:val="000000"/>
                <w:sz w:val="20"/>
                <w:szCs w:val="24"/>
              </w:rPr>
            </w:pPr>
            <w:r w:rsidRPr="002320EE">
              <w:rPr>
                <w:rFonts w:ascii="Times New Roman" w:hAnsi="Times New Roman" w:cs="Times New Roman"/>
                <w:bCs/>
                <w:color w:val="000000"/>
                <w:sz w:val="20"/>
                <w:szCs w:val="24"/>
              </w:rPr>
              <w:t>5.939.914.988,00</w:t>
            </w:r>
          </w:p>
        </w:tc>
        <w:tc>
          <w:tcPr>
            <w:tcW w:w="1497" w:type="pct"/>
            <w:shd w:val="clear" w:color="auto" w:fill="auto"/>
            <w:noWrap/>
            <w:vAlign w:val="center"/>
          </w:tcPr>
          <w:p w14:paraId="582942A9" w14:textId="77777777" w:rsidR="008022DB" w:rsidRPr="002320EE" w:rsidRDefault="0000139C" w:rsidP="000741B5">
            <w:pPr>
              <w:keepNext/>
              <w:spacing w:after="0" w:line="240" w:lineRule="auto"/>
              <w:jc w:val="right"/>
              <w:rPr>
                <w:rFonts w:ascii="Times New Roman" w:hAnsi="Times New Roman" w:cs="Times New Roman"/>
                <w:bCs/>
                <w:color w:val="000000"/>
                <w:sz w:val="20"/>
                <w:szCs w:val="24"/>
              </w:rPr>
            </w:pPr>
            <w:r w:rsidRPr="002320EE">
              <w:rPr>
                <w:rFonts w:ascii="Times New Roman" w:hAnsi="Times New Roman" w:cs="Times New Roman"/>
                <w:bCs/>
                <w:color w:val="000000"/>
                <w:sz w:val="20"/>
                <w:szCs w:val="24"/>
              </w:rPr>
              <w:t>4.273.138.322,00</w:t>
            </w:r>
          </w:p>
        </w:tc>
        <w:tc>
          <w:tcPr>
            <w:tcW w:w="743" w:type="pct"/>
            <w:shd w:val="clear" w:color="auto" w:fill="auto"/>
            <w:noWrap/>
            <w:vAlign w:val="center"/>
          </w:tcPr>
          <w:p w14:paraId="41EF30D3" w14:textId="77777777" w:rsidR="008022DB" w:rsidRPr="002320EE" w:rsidRDefault="004340F7" w:rsidP="000741B5">
            <w:pPr>
              <w:keepNext/>
              <w:spacing w:after="0" w:line="240" w:lineRule="auto"/>
              <w:jc w:val="right"/>
              <w:rPr>
                <w:rFonts w:ascii="Times New Roman" w:hAnsi="Times New Roman" w:cs="Times New Roman"/>
                <w:bCs/>
                <w:color w:val="000000"/>
                <w:sz w:val="20"/>
                <w:szCs w:val="24"/>
              </w:rPr>
            </w:pPr>
            <w:r w:rsidRPr="002320EE">
              <w:rPr>
                <w:rFonts w:ascii="Times New Roman" w:hAnsi="Times New Roman" w:cs="Times New Roman"/>
                <w:bCs/>
                <w:color w:val="000000"/>
                <w:sz w:val="20"/>
                <w:szCs w:val="24"/>
              </w:rPr>
              <w:t>136.993.146,00</w:t>
            </w:r>
          </w:p>
        </w:tc>
        <w:tc>
          <w:tcPr>
            <w:tcW w:w="743" w:type="pct"/>
            <w:shd w:val="clear" w:color="auto" w:fill="auto"/>
            <w:noWrap/>
            <w:vAlign w:val="center"/>
          </w:tcPr>
          <w:p w14:paraId="1030E9EB" w14:textId="77777777" w:rsidR="008022DB" w:rsidRPr="002320EE" w:rsidRDefault="002B7D90" w:rsidP="000741B5">
            <w:pPr>
              <w:keepNext/>
              <w:spacing w:after="0" w:line="240" w:lineRule="auto"/>
              <w:jc w:val="right"/>
              <w:rPr>
                <w:rFonts w:ascii="Times New Roman" w:hAnsi="Times New Roman" w:cs="Times New Roman"/>
                <w:bCs/>
                <w:color w:val="000000"/>
                <w:sz w:val="20"/>
                <w:szCs w:val="24"/>
              </w:rPr>
            </w:pPr>
            <w:r w:rsidRPr="002320EE">
              <w:rPr>
                <w:rFonts w:ascii="Times New Roman" w:hAnsi="Times New Roman" w:cs="Times New Roman"/>
                <w:bCs/>
                <w:color w:val="000000"/>
                <w:sz w:val="20"/>
                <w:szCs w:val="24"/>
              </w:rPr>
              <w:t>8.598,37</w:t>
            </w:r>
          </w:p>
        </w:tc>
      </w:tr>
    </w:tbl>
    <w:p w14:paraId="431BF9BA" w14:textId="77777777" w:rsidR="004506BF" w:rsidRDefault="004506BF" w:rsidP="00F030F5">
      <w:pPr>
        <w:jc w:val="both"/>
        <w:rPr>
          <w:rFonts w:ascii="Times New Roman" w:hAnsi="Times New Roman" w:cs="Times New Roman"/>
          <w:sz w:val="24"/>
          <w:szCs w:val="24"/>
        </w:rPr>
      </w:pPr>
    </w:p>
    <w:p w14:paraId="234829EA" w14:textId="77777777" w:rsidR="008022DB" w:rsidRPr="00F030F5" w:rsidRDefault="008022DB" w:rsidP="00F030F5">
      <w:pPr>
        <w:jc w:val="both"/>
        <w:rPr>
          <w:rFonts w:ascii="Times New Roman" w:hAnsi="Times New Roman" w:cs="Times New Roman"/>
          <w:sz w:val="24"/>
          <w:szCs w:val="24"/>
        </w:rPr>
      </w:pPr>
      <w:r w:rsidRPr="00F030F5">
        <w:rPr>
          <w:rFonts w:ascii="Times New Roman" w:hAnsi="Times New Roman" w:cs="Times New Roman"/>
          <w:sz w:val="24"/>
          <w:szCs w:val="24"/>
        </w:rPr>
        <w:t>Podrobný rozpis rozpočtu pro školy a pro pedagogické pracovníky školních družin pro rok 202</w:t>
      </w:r>
      <w:r w:rsidR="00074B70">
        <w:rPr>
          <w:rFonts w:ascii="Times New Roman" w:hAnsi="Times New Roman" w:cs="Times New Roman"/>
          <w:sz w:val="24"/>
          <w:szCs w:val="24"/>
        </w:rPr>
        <w:t>1</w:t>
      </w:r>
      <w:r w:rsidRPr="00F030F5">
        <w:rPr>
          <w:rFonts w:ascii="Times New Roman" w:hAnsi="Times New Roman" w:cs="Times New Roman"/>
          <w:sz w:val="24"/>
          <w:szCs w:val="24"/>
        </w:rPr>
        <w:t xml:space="preserve"> je uveden samostatně v materiálu </w:t>
      </w:r>
      <w:r w:rsidRPr="00475713">
        <w:rPr>
          <w:rFonts w:ascii="Times New Roman" w:hAnsi="Times New Roman" w:cs="Times New Roman"/>
          <w:sz w:val="24"/>
          <w:szCs w:val="24"/>
        </w:rPr>
        <w:t xml:space="preserve">MŠMT </w:t>
      </w:r>
      <w:hyperlink r:id="rId8" w:history="1">
        <w:r w:rsidR="00475713" w:rsidRPr="00475713">
          <w:rPr>
            <w:rStyle w:val="Hypertextovodkaz"/>
            <w:rFonts w:ascii="Times New Roman" w:hAnsi="Times New Roman" w:cs="Times New Roman"/>
            <w:sz w:val="24"/>
            <w:szCs w:val="24"/>
          </w:rPr>
          <w:t>https://www.msmt.cz/vzdelavani/skolstvi-v-cr/ekonomika-skolstvi/financni-prostredky-stanovene-ministerstvem-pro-skoly-a-1</w:t>
        </w:r>
      </w:hyperlink>
      <w:r w:rsidRPr="00475713">
        <w:rPr>
          <w:rFonts w:ascii="Times New Roman" w:hAnsi="Times New Roman" w:cs="Times New Roman"/>
          <w:sz w:val="24"/>
          <w:szCs w:val="24"/>
        </w:rPr>
        <w:t>.</w:t>
      </w:r>
    </w:p>
    <w:p w14:paraId="227CCB94" w14:textId="77777777" w:rsidR="0031167A" w:rsidRDefault="00E21808" w:rsidP="00E21808">
      <w:pPr>
        <w:jc w:val="both"/>
        <w:rPr>
          <w:rFonts w:ascii="Times New Roman" w:hAnsi="Times New Roman" w:cs="Times New Roman"/>
          <w:sz w:val="24"/>
          <w:szCs w:val="24"/>
        </w:rPr>
      </w:pPr>
      <w:r w:rsidRPr="00E21808">
        <w:rPr>
          <w:rFonts w:ascii="Times New Roman" w:hAnsi="Times New Roman" w:cs="Times New Roman"/>
          <w:sz w:val="24"/>
          <w:szCs w:val="24"/>
        </w:rPr>
        <w:t>Prostřednictvím republikových normativů jsou v roce 202</w:t>
      </w:r>
      <w:r w:rsidR="00F000D1">
        <w:rPr>
          <w:rFonts w:ascii="Times New Roman" w:hAnsi="Times New Roman" w:cs="Times New Roman"/>
          <w:sz w:val="24"/>
          <w:szCs w:val="24"/>
        </w:rPr>
        <w:t>1</w:t>
      </w:r>
      <w:r w:rsidRPr="00E21808">
        <w:rPr>
          <w:rFonts w:ascii="Times New Roman" w:hAnsi="Times New Roman" w:cs="Times New Roman"/>
          <w:sz w:val="24"/>
          <w:szCs w:val="24"/>
        </w:rPr>
        <w:t xml:space="preserve"> z rozpočtu MŠMT rozepisovány</w:t>
      </w:r>
      <w:r w:rsidR="00074908">
        <w:rPr>
          <w:rFonts w:ascii="Times New Roman" w:hAnsi="Times New Roman" w:cs="Times New Roman"/>
          <w:sz w:val="24"/>
          <w:szCs w:val="24"/>
        </w:rPr>
        <w:br/>
      </w:r>
      <w:r w:rsidRPr="00E21808">
        <w:rPr>
          <w:rFonts w:ascii="Times New Roman" w:hAnsi="Times New Roman" w:cs="Times New Roman"/>
          <w:sz w:val="24"/>
          <w:szCs w:val="24"/>
        </w:rPr>
        <w:t>do rozpočtů jednotlivých krajů finanční prostředky pro školská zařízení s výjimkou finančních prostředků na pedagogickou práci školních družin.</w:t>
      </w:r>
    </w:p>
    <w:p w14:paraId="289AB0E1" w14:textId="77777777" w:rsidR="00074908" w:rsidRDefault="00074908" w:rsidP="00E21808">
      <w:pPr>
        <w:jc w:val="both"/>
        <w:rPr>
          <w:rFonts w:ascii="Times New Roman" w:hAnsi="Times New Roman" w:cs="Times New Roman"/>
          <w:sz w:val="24"/>
          <w:szCs w:val="24"/>
        </w:rPr>
      </w:pPr>
    </w:p>
    <w:p w14:paraId="51805F7C" w14:textId="77777777" w:rsidR="00ED7602" w:rsidRPr="00ED7602" w:rsidRDefault="00ED7602" w:rsidP="00ED7602">
      <w:pPr>
        <w:keepNext/>
        <w:rPr>
          <w:rFonts w:ascii="Times New Roman" w:hAnsi="Times New Roman" w:cs="Times New Roman"/>
          <w:b/>
          <w:color w:val="000000"/>
          <w:sz w:val="24"/>
          <w:szCs w:val="24"/>
        </w:rPr>
      </w:pPr>
      <w:r w:rsidRPr="00ED7602">
        <w:rPr>
          <w:rFonts w:ascii="Times New Roman" w:hAnsi="Times New Roman" w:cs="Times New Roman"/>
          <w:b/>
          <w:color w:val="000000"/>
          <w:sz w:val="24"/>
          <w:szCs w:val="24"/>
        </w:rPr>
        <w:t>Normativní rozpis podle § 161a a § 161b školského zákona pro rok 202</w:t>
      </w:r>
      <w:r w:rsidR="00AB2E7E">
        <w:rPr>
          <w:rFonts w:ascii="Times New Roman" w:hAnsi="Times New Roman" w:cs="Times New Roman"/>
          <w:b/>
          <w:color w:val="000000"/>
          <w:sz w:val="24"/>
          <w:szCs w:val="24"/>
        </w:rPr>
        <w:t>1</w:t>
      </w:r>
      <w:r w:rsidRPr="00ED7602">
        <w:rPr>
          <w:rFonts w:ascii="Times New Roman" w:hAnsi="Times New Roman" w:cs="Times New Roman"/>
          <w:b/>
          <w:color w:val="000000"/>
          <w:sz w:val="24"/>
          <w:szCs w:val="24"/>
        </w:rPr>
        <w:t xml:space="preserve"> </w:t>
      </w:r>
    </w:p>
    <w:tbl>
      <w:tblPr>
        <w:tblStyle w:val="Mkatabulky"/>
        <w:tblW w:w="9209" w:type="dxa"/>
        <w:tblLayout w:type="fixed"/>
        <w:tblLook w:val="04A0" w:firstRow="1" w:lastRow="0" w:firstColumn="1" w:lastColumn="0" w:noHBand="0" w:noVBand="1"/>
      </w:tblPr>
      <w:tblGrid>
        <w:gridCol w:w="1129"/>
        <w:gridCol w:w="993"/>
        <w:gridCol w:w="1559"/>
        <w:gridCol w:w="1559"/>
        <w:gridCol w:w="1559"/>
        <w:gridCol w:w="1418"/>
        <w:gridCol w:w="992"/>
      </w:tblGrid>
      <w:tr w:rsidR="00E46648" w:rsidRPr="00FC7AFA" w14:paraId="42CD5DD5" w14:textId="77777777" w:rsidTr="002E6572">
        <w:trPr>
          <w:trHeight w:val="506"/>
        </w:trPr>
        <w:tc>
          <w:tcPr>
            <w:tcW w:w="1129" w:type="dxa"/>
            <w:noWrap/>
            <w:vAlign w:val="center"/>
          </w:tcPr>
          <w:p w14:paraId="44DBF748" w14:textId="77777777" w:rsidR="00ED7602" w:rsidRPr="00E46648" w:rsidRDefault="00ED7602" w:rsidP="00C92C34">
            <w:pPr>
              <w:keepNext/>
              <w:jc w:val="center"/>
              <w:rPr>
                <w:b/>
                <w:color w:val="000000"/>
                <w:szCs w:val="24"/>
              </w:rPr>
            </w:pPr>
          </w:p>
        </w:tc>
        <w:tc>
          <w:tcPr>
            <w:tcW w:w="993" w:type="dxa"/>
            <w:tcBorders>
              <w:bottom w:val="single" w:sz="4" w:space="0" w:color="auto"/>
              <w:right w:val="single" w:sz="4" w:space="0" w:color="auto"/>
            </w:tcBorders>
            <w:vAlign w:val="center"/>
          </w:tcPr>
          <w:p w14:paraId="45AA59D3" w14:textId="77777777" w:rsidR="00ED7602" w:rsidRPr="00E46648" w:rsidRDefault="00813F18" w:rsidP="00813F18">
            <w:pPr>
              <w:jc w:val="center"/>
              <w:rPr>
                <w:b/>
                <w:bCs/>
                <w:color w:val="000000"/>
                <w:szCs w:val="24"/>
              </w:rPr>
            </w:pPr>
            <w:r>
              <w:rPr>
                <w:b/>
                <w:bCs/>
                <w:color w:val="000000"/>
                <w:szCs w:val="24"/>
              </w:rPr>
              <w:t>Výkony 2020</w:t>
            </w:r>
            <w:r w:rsidR="00ED7602" w:rsidRPr="00E46648">
              <w:rPr>
                <w:b/>
                <w:bCs/>
                <w:color w:val="000000"/>
                <w:szCs w:val="24"/>
              </w:rPr>
              <w:t>/2</w:t>
            </w:r>
            <w:r>
              <w:rPr>
                <w:b/>
                <w:bCs/>
                <w:color w:val="000000"/>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4D73C" w14:textId="77777777" w:rsidR="00ED7602" w:rsidRPr="00E46648" w:rsidRDefault="00ED7602" w:rsidP="00C92C34">
            <w:pPr>
              <w:jc w:val="center"/>
              <w:rPr>
                <w:b/>
                <w:bCs/>
                <w:color w:val="000000"/>
                <w:szCs w:val="24"/>
              </w:rPr>
            </w:pPr>
            <w:r w:rsidRPr="00E46648">
              <w:rPr>
                <w:b/>
                <w:bCs/>
                <w:color w:val="000000"/>
                <w:szCs w:val="24"/>
              </w:rPr>
              <w:t>NIV celkem</w:t>
            </w:r>
            <w:r w:rsidRPr="00E46648">
              <w:rPr>
                <w:b/>
                <w:bCs/>
                <w:color w:val="000000"/>
                <w:szCs w:val="24"/>
              </w:rPr>
              <w:br/>
              <w:t>v Kč</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1DBA1" w14:textId="77777777" w:rsidR="00ED7602" w:rsidRPr="00E46648" w:rsidRDefault="00ED7602" w:rsidP="00E46648">
            <w:pPr>
              <w:jc w:val="center"/>
              <w:rPr>
                <w:b/>
                <w:bCs/>
                <w:color w:val="000000"/>
                <w:szCs w:val="24"/>
              </w:rPr>
            </w:pPr>
            <w:r w:rsidRPr="00E46648">
              <w:rPr>
                <w:b/>
                <w:bCs/>
                <w:color w:val="000000"/>
                <w:szCs w:val="24"/>
              </w:rPr>
              <w:t>Prostředky na platy v Kč</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3B097" w14:textId="77777777" w:rsidR="00ED7602" w:rsidRPr="00E46648" w:rsidRDefault="00ED7602" w:rsidP="00E46648">
            <w:pPr>
              <w:jc w:val="center"/>
              <w:rPr>
                <w:b/>
                <w:bCs/>
                <w:color w:val="000000"/>
                <w:szCs w:val="24"/>
              </w:rPr>
            </w:pPr>
            <w:r w:rsidRPr="00E46648">
              <w:rPr>
                <w:b/>
                <w:bCs/>
                <w:color w:val="000000"/>
                <w:szCs w:val="24"/>
              </w:rPr>
              <w:t xml:space="preserve">Odvody </w:t>
            </w:r>
            <w:r w:rsidRPr="00E46648">
              <w:rPr>
                <w:b/>
                <w:bCs/>
                <w:color w:val="000000"/>
                <w:szCs w:val="24"/>
              </w:rPr>
              <w:br/>
              <w:t>celkem v Kč</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A6980" w14:textId="77777777" w:rsidR="00ED7602" w:rsidRPr="00E46648" w:rsidRDefault="00ED7602" w:rsidP="00C92C34">
            <w:pPr>
              <w:jc w:val="center"/>
              <w:rPr>
                <w:b/>
                <w:bCs/>
                <w:color w:val="000000"/>
                <w:szCs w:val="24"/>
              </w:rPr>
            </w:pPr>
            <w:r w:rsidRPr="00E46648">
              <w:rPr>
                <w:b/>
                <w:bCs/>
                <w:color w:val="000000"/>
                <w:szCs w:val="24"/>
              </w:rPr>
              <w:t xml:space="preserve">ONIV celkem </w:t>
            </w:r>
          </w:p>
          <w:p w14:paraId="469E0268" w14:textId="77777777" w:rsidR="00ED7602" w:rsidRPr="00E46648" w:rsidRDefault="00ED7602" w:rsidP="00C92C34">
            <w:pPr>
              <w:jc w:val="center"/>
              <w:rPr>
                <w:b/>
                <w:bCs/>
                <w:color w:val="000000"/>
                <w:szCs w:val="24"/>
              </w:rPr>
            </w:pPr>
            <w:r w:rsidRPr="00E46648">
              <w:rPr>
                <w:b/>
                <w:bCs/>
                <w:color w:val="000000"/>
                <w:szCs w:val="24"/>
              </w:rPr>
              <w:t>v Kč</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F1E62" w14:textId="77777777" w:rsidR="00ED7602" w:rsidRPr="00E46648" w:rsidRDefault="00ED7602" w:rsidP="00C92C34">
            <w:pPr>
              <w:jc w:val="center"/>
              <w:rPr>
                <w:b/>
                <w:bCs/>
                <w:color w:val="000000"/>
                <w:szCs w:val="24"/>
              </w:rPr>
            </w:pPr>
            <w:r w:rsidRPr="00E46648">
              <w:rPr>
                <w:b/>
                <w:bCs/>
                <w:color w:val="000000"/>
                <w:szCs w:val="24"/>
              </w:rPr>
              <w:t xml:space="preserve">Počet </w:t>
            </w:r>
            <w:proofErr w:type="spellStart"/>
            <w:r w:rsidRPr="00E46648">
              <w:rPr>
                <w:b/>
                <w:bCs/>
                <w:color w:val="000000"/>
                <w:szCs w:val="24"/>
              </w:rPr>
              <w:t>zam</w:t>
            </w:r>
            <w:proofErr w:type="spellEnd"/>
            <w:r w:rsidRPr="00E46648">
              <w:rPr>
                <w:b/>
                <w:bCs/>
                <w:color w:val="000000"/>
                <w:szCs w:val="24"/>
              </w:rPr>
              <w:t>.</w:t>
            </w:r>
          </w:p>
        </w:tc>
      </w:tr>
      <w:tr w:rsidR="00E46648" w:rsidRPr="007F022D" w14:paraId="458DA9E4" w14:textId="77777777" w:rsidTr="002E6572">
        <w:trPr>
          <w:trHeight w:val="506"/>
        </w:trPr>
        <w:tc>
          <w:tcPr>
            <w:tcW w:w="1129" w:type="dxa"/>
            <w:shd w:val="clear" w:color="auto" w:fill="auto"/>
            <w:noWrap/>
            <w:vAlign w:val="center"/>
            <w:hideMark/>
          </w:tcPr>
          <w:p w14:paraId="5B95921D" w14:textId="77777777" w:rsidR="00ED7602" w:rsidRPr="00E46648" w:rsidRDefault="00ED7602" w:rsidP="00C92C34">
            <w:pPr>
              <w:keepNext/>
              <w:rPr>
                <w:b/>
                <w:bCs/>
                <w:color w:val="000000"/>
                <w:szCs w:val="24"/>
              </w:rPr>
            </w:pPr>
            <w:r w:rsidRPr="00E46648">
              <w:rPr>
                <w:b/>
                <w:bCs/>
                <w:color w:val="000000"/>
                <w:szCs w:val="24"/>
              </w:rPr>
              <w:t>Liberecký kraj</w:t>
            </w:r>
          </w:p>
        </w:tc>
        <w:tc>
          <w:tcPr>
            <w:tcW w:w="993" w:type="dxa"/>
            <w:tcBorders>
              <w:top w:val="single" w:sz="4" w:space="0" w:color="auto"/>
              <w:bottom w:val="single" w:sz="4" w:space="0" w:color="auto"/>
              <w:right w:val="single" w:sz="4" w:space="0" w:color="auto"/>
            </w:tcBorders>
            <w:vAlign w:val="center"/>
          </w:tcPr>
          <w:p w14:paraId="1413454B" w14:textId="77777777" w:rsidR="00ED7602" w:rsidRPr="00E46648" w:rsidRDefault="002E6572" w:rsidP="00C92C34">
            <w:pPr>
              <w:jc w:val="right"/>
              <w:rPr>
                <w:bCs/>
                <w:color w:val="000000"/>
                <w:szCs w:val="24"/>
              </w:rPr>
            </w:pPr>
            <w:r>
              <w:rPr>
                <w:bCs/>
                <w:color w:val="000000"/>
                <w:szCs w:val="24"/>
              </w:rPr>
              <w:t>7.</w:t>
            </w:r>
            <w:r w:rsidR="00D505DD" w:rsidRPr="00D505DD">
              <w:rPr>
                <w:bCs/>
                <w:color w:val="000000"/>
                <w:szCs w:val="24"/>
              </w:rPr>
              <w:t xml:space="preserve"> 333,50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61128" w14:textId="77777777" w:rsidR="00ED7602" w:rsidRPr="00E46648" w:rsidRDefault="000E0E3E" w:rsidP="00C92C34">
            <w:pPr>
              <w:jc w:val="right"/>
              <w:rPr>
                <w:bCs/>
                <w:color w:val="000000"/>
                <w:szCs w:val="24"/>
              </w:rPr>
            </w:pPr>
            <w:r>
              <w:rPr>
                <w:bCs/>
                <w:color w:val="000000"/>
                <w:szCs w:val="24"/>
              </w:rPr>
              <w:t>757</w:t>
            </w:r>
            <w:r w:rsidR="002E6572">
              <w:rPr>
                <w:bCs/>
                <w:color w:val="000000"/>
                <w:szCs w:val="24"/>
              </w:rPr>
              <w:t>.895.</w:t>
            </w:r>
            <w:r>
              <w:rPr>
                <w:bCs/>
                <w:color w:val="000000"/>
                <w:szCs w:val="24"/>
              </w:rPr>
              <w:t>542</w:t>
            </w:r>
            <w:r w:rsidR="002E6572">
              <w:rPr>
                <w:bCs/>
                <w:color w:val="000000"/>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D0D3C" w14:textId="77777777" w:rsidR="00ED7602" w:rsidRPr="00E46648" w:rsidRDefault="002E6572" w:rsidP="00C92C34">
            <w:pPr>
              <w:jc w:val="right"/>
              <w:rPr>
                <w:bCs/>
                <w:color w:val="000000"/>
                <w:szCs w:val="24"/>
              </w:rPr>
            </w:pPr>
            <w:r>
              <w:rPr>
                <w:bCs/>
                <w:color w:val="000000"/>
                <w:szCs w:val="24"/>
              </w:rPr>
              <w:t>552.130.</w:t>
            </w:r>
            <w:r w:rsidR="00D505DD" w:rsidRPr="00D505DD">
              <w:rPr>
                <w:bCs/>
                <w:color w:val="000000"/>
                <w:szCs w:val="24"/>
              </w:rPr>
              <w:t>495</w:t>
            </w:r>
            <w:r>
              <w:rPr>
                <w:bCs/>
                <w:color w:val="000000"/>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1B19C" w14:textId="77777777" w:rsidR="00ED7602" w:rsidRPr="00E46648" w:rsidRDefault="002E6572" w:rsidP="00C92C34">
            <w:pPr>
              <w:jc w:val="right"/>
              <w:rPr>
                <w:bCs/>
                <w:color w:val="000000"/>
                <w:szCs w:val="24"/>
              </w:rPr>
            </w:pPr>
            <w:r>
              <w:rPr>
                <w:bCs/>
                <w:color w:val="000000"/>
                <w:szCs w:val="24"/>
              </w:rPr>
              <w:t>197.662.</w:t>
            </w:r>
            <w:r w:rsidR="008341A2" w:rsidRPr="008341A2">
              <w:rPr>
                <w:bCs/>
                <w:color w:val="000000"/>
                <w:szCs w:val="24"/>
              </w:rPr>
              <w:t>718</w:t>
            </w:r>
            <w:r>
              <w:rPr>
                <w:bCs/>
                <w:color w:val="000000"/>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75610" w14:textId="77777777" w:rsidR="00ED7602" w:rsidRPr="00E46648" w:rsidRDefault="002E6572" w:rsidP="00C92C34">
            <w:pPr>
              <w:jc w:val="right"/>
              <w:rPr>
                <w:bCs/>
                <w:color w:val="000000"/>
                <w:szCs w:val="24"/>
              </w:rPr>
            </w:pPr>
            <w:r>
              <w:rPr>
                <w:bCs/>
                <w:color w:val="000000"/>
                <w:szCs w:val="24"/>
              </w:rPr>
              <w:t>8.102.</w:t>
            </w:r>
            <w:r w:rsidR="008341A2" w:rsidRPr="008341A2">
              <w:rPr>
                <w:bCs/>
                <w:color w:val="000000"/>
                <w:szCs w:val="24"/>
              </w:rPr>
              <w:t>329</w:t>
            </w:r>
            <w:r>
              <w:rPr>
                <w:bCs/>
                <w:color w:val="000000"/>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539E" w14:textId="77777777" w:rsidR="00ED7602" w:rsidRPr="00E46648" w:rsidRDefault="002E6572" w:rsidP="00C92C34">
            <w:pPr>
              <w:jc w:val="right"/>
              <w:rPr>
                <w:bCs/>
                <w:color w:val="000000"/>
                <w:szCs w:val="24"/>
              </w:rPr>
            </w:pPr>
            <w:r>
              <w:rPr>
                <w:bCs/>
                <w:color w:val="000000"/>
                <w:szCs w:val="24"/>
              </w:rPr>
              <w:t>1.</w:t>
            </w:r>
            <w:r w:rsidR="008341A2" w:rsidRPr="008341A2">
              <w:rPr>
                <w:bCs/>
                <w:color w:val="000000"/>
                <w:szCs w:val="24"/>
              </w:rPr>
              <w:t>613,42</w:t>
            </w:r>
          </w:p>
        </w:tc>
      </w:tr>
    </w:tbl>
    <w:p w14:paraId="66BB7355" w14:textId="77777777" w:rsidR="003A4C47" w:rsidRDefault="003A4C47" w:rsidP="003A4C47">
      <w:pPr>
        <w:jc w:val="both"/>
        <w:rPr>
          <w:rFonts w:ascii="Times New Roman" w:hAnsi="Times New Roman" w:cs="Times New Roman"/>
          <w:sz w:val="24"/>
          <w:szCs w:val="24"/>
        </w:rPr>
      </w:pPr>
    </w:p>
    <w:p w14:paraId="4044661C" w14:textId="77777777" w:rsidR="00D16647" w:rsidRDefault="0050445C" w:rsidP="003A4C47">
      <w:pPr>
        <w:jc w:val="both"/>
        <w:rPr>
          <w:rFonts w:ascii="Times New Roman" w:hAnsi="Times New Roman" w:cs="Times New Roman"/>
          <w:sz w:val="24"/>
          <w:szCs w:val="24"/>
        </w:rPr>
      </w:pPr>
      <w:r w:rsidRPr="0050445C">
        <w:rPr>
          <w:rFonts w:ascii="Times New Roman" w:hAnsi="Times New Roman" w:cs="Times New Roman"/>
          <w:sz w:val="24"/>
          <w:szCs w:val="24"/>
        </w:rPr>
        <w:lastRenderedPageBreak/>
        <w:t xml:space="preserve">Rezervu finančních prostředků určenou k řešení objektivních disproporcí ve finančním zabezpečení škol a školských zařízení </w:t>
      </w:r>
      <w:r w:rsidR="00F35E59">
        <w:rPr>
          <w:rFonts w:ascii="Times New Roman" w:hAnsi="Times New Roman" w:cs="Times New Roman"/>
          <w:sz w:val="24"/>
          <w:szCs w:val="24"/>
        </w:rPr>
        <w:t>vytvářejí</w:t>
      </w:r>
      <w:r w:rsidRPr="0050445C">
        <w:rPr>
          <w:rFonts w:ascii="Times New Roman" w:hAnsi="Times New Roman" w:cs="Times New Roman"/>
          <w:sz w:val="24"/>
          <w:szCs w:val="24"/>
        </w:rPr>
        <w:t xml:space="preserve"> v roce 202</w:t>
      </w:r>
      <w:r w:rsidR="00DD6D2D">
        <w:rPr>
          <w:rFonts w:ascii="Times New Roman" w:hAnsi="Times New Roman" w:cs="Times New Roman"/>
          <w:sz w:val="24"/>
          <w:szCs w:val="24"/>
        </w:rPr>
        <w:t>1</w:t>
      </w:r>
      <w:r w:rsidRPr="0050445C">
        <w:rPr>
          <w:rFonts w:ascii="Times New Roman" w:hAnsi="Times New Roman" w:cs="Times New Roman"/>
          <w:sz w:val="24"/>
          <w:szCs w:val="24"/>
        </w:rPr>
        <w:t xml:space="preserve"> z normativně rozepsaných zdrojů jednotlivé krajské úřady. </w:t>
      </w:r>
      <w:r w:rsidR="00F35E59">
        <w:rPr>
          <w:rFonts w:ascii="Times New Roman" w:hAnsi="Times New Roman" w:cs="Times New Roman"/>
          <w:sz w:val="24"/>
          <w:szCs w:val="24"/>
        </w:rPr>
        <w:t>Zároveň r</w:t>
      </w:r>
      <w:r w:rsidRPr="0050445C">
        <w:rPr>
          <w:rFonts w:ascii="Times New Roman" w:hAnsi="Times New Roman" w:cs="Times New Roman"/>
          <w:sz w:val="24"/>
          <w:szCs w:val="24"/>
        </w:rPr>
        <w:t>ezervu v letošním roce stanovilo</w:t>
      </w:r>
      <w:r>
        <w:rPr>
          <w:rFonts w:ascii="Times New Roman" w:hAnsi="Times New Roman" w:cs="Times New Roman"/>
          <w:sz w:val="24"/>
          <w:szCs w:val="24"/>
        </w:rPr>
        <w:t xml:space="preserve"> a rozepsalo jednotlivým krajům MŠMT</w:t>
      </w:r>
      <w:r w:rsidRPr="0050445C">
        <w:rPr>
          <w:rFonts w:ascii="Times New Roman" w:hAnsi="Times New Roman" w:cs="Times New Roman"/>
          <w:sz w:val="24"/>
          <w:szCs w:val="24"/>
        </w:rPr>
        <w:t>. Její součástí jsou i finanční prostředky na podpůrná opatření vykázaná v roce 20</w:t>
      </w:r>
      <w:r w:rsidR="00DD6D2D">
        <w:rPr>
          <w:rFonts w:ascii="Times New Roman" w:hAnsi="Times New Roman" w:cs="Times New Roman"/>
          <w:sz w:val="24"/>
          <w:szCs w:val="24"/>
        </w:rPr>
        <w:t>20</w:t>
      </w:r>
      <w:r w:rsidRPr="0050445C">
        <w:rPr>
          <w:rFonts w:ascii="Times New Roman" w:hAnsi="Times New Roman" w:cs="Times New Roman"/>
          <w:sz w:val="24"/>
          <w:szCs w:val="24"/>
        </w:rPr>
        <w:t xml:space="preserve"> jednotlivými krajskými a obecními školami a školskými zařízeními v kraji, a to ve výkazu R 43-01 a dále pak ve výkazu R 44-99 za měsíce září až prosinec 20</w:t>
      </w:r>
      <w:r w:rsidR="00DD6D2D">
        <w:rPr>
          <w:rFonts w:ascii="Times New Roman" w:hAnsi="Times New Roman" w:cs="Times New Roman"/>
          <w:sz w:val="24"/>
          <w:szCs w:val="24"/>
        </w:rPr>
        <w:t>20</w:t>
      </w:r>
      <w:r w:rsidRPr="0050445C">
        <w:rPr>
          <w:rFonts w:ascii="Times New Roman" w:hAnsi="Times New Roman" w:cs="Times New Roman"/>
          <w:sz w:val="24"/>
          <w:szCs w:val="24"/>
        </w:rPr>
        <w:t>, která tedy budou realizována i v roce 202</w:t>
      </w:r>
      <w:r w:rsidR="00DD6D2D">
        <w:rPr>
          <w:rFonts w:ascii="Times New Roman" w:hAnsi="Times New Roman" w:cs="Times New Roman"/>
          <w:sz w:val="24"/>
          <w:szCs w:val="24"/>
        </w:rPr>
        <w:t>1</w:t>
      </w:r>
      <w:r w:rsidRPr="0050445C">
        <w:rPr>
          <w:rFonts w:ascii="Times New Roman" w:hAnsi="Times New Roman" w:cs="Times New Roman"/>
          <w:sz w:val="24"/>
          <w:szCs w:val="24"/>
        </w:rPr>
        <w:t>.</w:t>
      </w:r>
      <w:r w:rsidR="00D16647">
        <w:rPr>
          <w:rFonts w:ascii="Times New Roman" w:hAnsi="Times New Roman" w:cs="Times New Roman"/>
          <w:sz w:val="24"/>
          <w:szCs w:val="24"/>
        </w:rPr>
        <w:t xml:space="preserve"> </w:t>
      </w:r>
      <w:r w:rsidR="00D16647" w:rsidRPr="00D16647">
        <w:rPr>
          <w:rFonts w:ascii="Times New Roman" w:hAnsi="Times New Roman" w:cs="Times New Roman"/>
          <w:sz w:val="24"/>
          <w:szCs w:val="24"/>
        </w:rPr>
        <w:t>Stav rezervy na podpůrná opatření se během roku 2021 bude měnit, a to na základě změn při vykazování podpůrných opatření ve výkaze R44-99.</w:t>
      </w:r>
    </w:p>
    <w:p w14:paraId="1B0E1F09" w14:textId="77777777" w:rsidR="00D16647" w:rsidRDefault="00D16647" w:rsidP="003A4C47">
      <w:pPr>
        <w:jc w:val="both"/>
        <w:rPr>
          <w:rFonts w:ascii="Times New Roman" w:hAnsi="Times New Roman" w:cs="Times New Roman"/>
          <w:sz w:val="24"/>
          <w:szCs w:val="24"/>
        </w:rPr>
      </w:pPr>
    </w:p>
    <w:p w14:paraId="07C94E1A" w14:textId="77777777" w:rsidR="003877DE" w:rsidRPr="003877DE" w:rsidRDefault="003877DE" w:rsidP="003877DE">
      <w:pPr>
        <w:rPr>
          <w:rFonts w:ascii="Times New Roman" w:hAnsi="Times New Roman" w:cs="Times New Roman"/>
          <w:b/>
          <w:sz w:val="20"/>
          <w:szCs w:val="20"/>
        </w:rPr>
      </w:pPr>
      <w:r w:rsidRPr="003877DE">
        <w:rPr>
          <w:rFonts w:ascii="Times New Roman" w:hAnsi="Times New Roman" w:cs="Times New Roman"/>
          <w:b/>
          <w:sz w:val="20"/>
          <w:szCs w:val="20"/>
        </w:rPr>
        <w:t>Rezerva pro rok 2021</w:t>
      </w:r>
    </w:p>
    <w:tbl>
      <w:tblPr>
        <w:tblW w:w="9214" w:type="dxa"/>
        <w:tblInd w:w="-5" w:type="dxa"/>
        <w:tblCellMar>
          <w:left w:w="70" w:type="dxa"/>
          <w:right w:w="70" w:type="dxa"/>
        </w:tblCellMar>
        <w:tblLook w:val="04A0" w:firstRow="1" w:lastRow="0" w:firstColumn="1" w:lastColumn="0" w:noHBand="0" w:noVBand="1"/>
      </w:tblPr>
      <w:tblGrid>
        <w:gridCol w:w="2977"/>
        <w:gridCol w:w="1276"/>
        <w:gridCol w:w="1417"/>
        <w:gridCol w:w="1694"/>
        <w:gridCol w:w="860"/>
        <w:gridCol w:w="990"/>
      </w:tblGrid>
      <w:tr w:rsidR="003877DE" w:rsidRPr="003877DE" w14:paraId="2036CCC5" w14:textId="77777777" w:rsidTr="00607D0B">
        <w:trPr>
          <w:trHeight w:val="551"/>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5E6E7" w14:textId="77777777" w:rsidR="003877DE" w:rsidRPr="003877DE" w:rsidRDefault="003877DE" w:rsidP="00897B41">
            <w:pPr>
              <w:jc w:val="center"/>
              <w:rPr>
                <w:rFonts w:ascii="Times New Roman" w:hAnsi="Times New Roman" w:cs="Times New Roman"/>
                <w:b/>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38133E" w14:textId="77777777" w:rsidR="003877DE" w:rsidRPr="003877DE" w:rsidRDefault="003877DE" w:rsidP="00897B41">
            <w:pPr>
              <w:jc w:val="center"/>
              <w:rPr>
                <w:rFonts w:ascii="Times New Roman" w:hAnsi="Times New Roman" w:cs="Times New Roman"/>
                <w:b/>
                <w:bCs/>
                <w:color w:val="000000"/>
                <w:sz w:val="20"/>
                <w:szCs w:val="20"/>
              </w:rPr>
            </w:pPr>
            <w:r w:rsidRPr="003877DE">
              <w:rPr>
                <w:rFonts w:ascii="Times New Roman" w:hAnsi="Times New Roman" w:cs="Times New Roman"/>
                <w:b/>
                <w:bCs/>
                <w:color w:val="000000"/>
                <w:sz w:val="20"/>
                <w:szCs w:val="20"/>
              </w:rPr>
              <w:t>NIV celkem v Kč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471DDF" w14:textId="77777777" w:rsidR="003877DE" w:rsidRPr="003877DE" w:rsidRDefault="003877DE" w:rsidP="00897B41">
            <w:pPr>
              <w:jc w:val="center"/>
              <w:rPr>
                <w:rFonts w:ascii="Times New Roman" w:hAnsi="Times New Roman" w:cs="Times New Roman"/>
                <w:b/>
                <w:bCs/>
                <w:color w:val="000000"/>
                <w:sz w:val="20"/>
                <w:szCs w:val="20"/>
              </w:rPr>
            </w:pPr>
            <w:r w:rsidRPr="003877DE">
              <w:rPr>
                <w:rFonts w:ascii="Times New Roman" w:hAnsi="Times New Roman" w:cs="Times New Roman"/>
                <w:b/>
                <w:bCs/>
                <w:color w:val="000000"/>
                <w:sz w:val="20"/>
                <w:szCs w:val="20"/>
              </w:rPr>
              <w:t>Prostředky na platy v Kč</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851C084" w14:textId="77777777" w:rsidR="003877DE" w:rsidRPr="003877DE" w:rsidRDefault="003877DE" w:rsidP="00897B41">
            <w:pPr>
              <w:jc w:val="center"/>
              <w:rPr>
                <w:rFonts w:ascii="Times New Roman" w:hAnsi="Times New Roman" w:cs="Times New Roman"/>
                <w:b/>
                <w:bCs/>
                <w:color w:val="000000"/>
                <w:sz w:val="20"/>
                <w:szCs w:val="20"/>
              </w:rPr>
            </w:pPr>
            <w:r w:rsidRPr="003877DE">
              <w:rPr>
                <w:rFonts w:ascii="Times New Roman" w:hAnsi="Times New Roman" w:cs="Times New Roman"/>
                <w:b/>
                <w:bCs/>
                <w:color w:val="000000"/>
                <w:sz w:val="20"/>
                <w:szCs w:val="20"/>
              </w:rPr>
              <w:t>Prostředky na OON v Kč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534CE3" w14:textId="77777777" w:rsidR="003877DE" w:rsidRPr="003877DE" w:rsidRDefault="003877DE" w:rsidP="00897B41">
            <w:pPr>
              <w:jc w:val="center"/>
              <w:rPr>
                <w:rFonts w:ascii="Times New Roman" w:hAnsi="Times New Roman" w:cs="Times New Roman"/>
                <w:b/>
                <w:bCs/>
                <w:color w:val="000000"/>
                <w:sz w:val="20"/>
                <w:szCs w:val="20"/>
              </w:rPr>
            </w:pPr>
            <w:r w:rsidRPr="003877DE">
              <w:rPr>
                <w:rFonts w:ascii="Times New Roman" w:hAnsi="Times New Roman" w:cs="Times New Roman"/>
                <w:b/>
                <w:bCs/>
                <w:color w:val="000000"/>
                <w:sz w:val="20"/>
                <w:szCs w:val="20"/>
              </w:rPr>
              <w:t>ONIV v Kč</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DB97E81" w14:textId="77777777" w:rsidR="003877DE" w:rsidRPr="003877DE" w:rsidRDefault="003877DE" w:rsidP="00897B41">
            <w:pPr>
              <w:jc w:val="center"/>
              <w:rPr>
                <w:rFonts w:ascii="Times New Roman" w:hAnsi="Times New Roman" w:cs="Times New Roman"/>
                <w:b/>
                <w:bCs/>
                <w:color w:val="000000"/>
                <w:sz w:val="20"/>
                <w:szCs w:val="20"/>
              </w:rPr>
            </w:pPr>
            <w:r w:rsidRPr="003877DE">
              <w:rPr>
                <w:rFonts w:ascii="Times New Roman" w:hAnsi="Times New Roman" w:cs="Times New Roman"/>
                <w:b/>
                <w:bCs/>
                <w:color w:val="000000"/>
                <w:sz w:val="20"/>
                <w:szCs w:val="20"/>
              </w:rPr>
              <w:t xml:space="preserve">Počet </w:t>
            </w:r>
            <w:proofErr w:type="spellStart"/>
            <w:r w:rsidRPr="003877DE">
              <w:rPr>
                <w:rFonts w:ascii="Times New Roman" w:hAnsi="Times New Roman" w:cs="Times New Roman"/>
                <w:b/>
                <w:bCs/>
                <w:color w:val="000000"/>
                <w:sz w:val="20"/>
                <w:szCs w:val="20"/>
              </w:rPr>
              <w:t>zam</w:t>
            </w:r>
            <w:proofErr w:type="spellEnd"/>
            <w:r w:rsidRPr="003877DE">
              <w:rPr>
                <w:rFonts w:ascii="Times New Roman" w:hAnsi="Times New Roman" w:cs="Times New Roman"/>
                <w:b/>
                <w:bCs/>
                <w:color w:val="000000"/>
                <w:sz w:val="20"/>
                <w:szCs w:val="20"/>
              </w:rPr>
              <w:t>.</w:t>
            </w:r>
          </w:p>
        </w:tc>
      </w:tr>
      <w:tr w:rsidR="003877DE" w:rsidRPr="003877DE" w14:paraId="5A52C428" w14:textId="77777777" w:rsidTr="00607D0B">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15A53FE" w14:textId="77777777" w:rsidR="003877DE" w:rsidRPr="003877DE" w:rsidRDefault="003877DE" w:rsidP="00897B41">
            <w:pPr>
              <w:rPr>
                <w:rFonts w:ascii="Times New Roman" w:hAnsi="Times New Roman" w:cs="Times New Roman"/>
                <w:color w:val="000000"/>
                <w:sz w:val="20"/>
                <w:szCs w:val="20"/>
              </w:rPr>
            </w:pPr>
            <w:r w:rsidRPr="003877DE">
              <w:rPr>
                <w:rFonts w:ascii="Times New Roman" w:hAnsi="Times New Roman" w:cs="Times New Roman"/>
                <w:bCs/>
                <w:color w:val="000000"/>
                <w:sz w:val="20"/>
                <w:szCs w:val="20"/>
              </w:rPr>
              <w:t xml:space="preserve">Rezerva celkem </w:t>
            </w:r>
          </w:p>
        </w:tc>
        <w:tc>
          <w:tcPr>
            <w:tcW w:w="1276" w:type="dxa"/>
            <w:tcBorders>
              <w:top w:val="nil"/>
              <w:left w:val="nil"/>
              <w:bottom w:val="single" w:sz="4" w:space="0" w:color="auto"/>
              <w:right w:val="single" w:sz="4" w:space="0" w:color="auto"/>
            </w:tcBorders>
            <w:shd w:val="clear" w:color="auto" w:fill="auto"/>
            <w:noWrap/>
            <w:vAlign w:val="bottom"/>
          </w:tcPr>
          <w:p w14:paraId="31551A7B"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325 451 479</w:t>
            </w:r>
          </w:p>
        </w:tc>
        <w:tc>
          <w:tcPr>
            <w:tcW w:w="1417" w:type="dxa"/>
            <w:tcBorders>
              <w:top w:val="nil"/>
              <w:left w:val="nil"/>
              <w:bottom w:val="single" w:sz="4" w:space="0" w:color="auto"/>
              <w:right w:val="single" w:sz="4" w:space="0" w:color="auto"/>
            </w:tcBorders>
            <w:shd w:val="clear" w:color="auto" w:fill="auto"/>
            <w:noWrap/>
            <w:vAlign w:val="bottom"/>
          </w:tcPr>
          <w:p w14:paraId="28E5A70B"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207 898 095</w:t>
            </w:r>
          </w:p>
        </w:tc>
        <w:tc>
          <w:tcPr>
            <w:tcW w:w="1694" w:type="dxa"/>
            <w:tcBorders>
              <w:top w:val="nil"/>
              <w:left w:val="nil"/>
              <w:bottom w:val="single" w:sz="4" w:space="0" w:color="auto"/>
              <w:right w:val="single" w:sz="4" w:space="0" w:color="auto"/>
            </w:tcBorders>
            <w:shd w:val="clear" w:color="auto" w:fill="auto"/>
            <w:noWrap/>
            <w:vAlign w:val="bottom"/>
          </w:tcPr>
          <w:p w14:paraId="0D4619FB"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31 863 340</w:t>
            </w:r>
          </w:p>
        </w:tc>
        <w:tc>
          <w:tcPr>
            <w:tcW w:w="860" w:type="dxa"/>
            <w:tcBorders>
              <w:top w:val="nil"/>
              <w:left w:val="nil"/>
              <w:bottom w:val="single" w:sz="4" w:space="0" w:color="auto"/>
              <w:right w:val="single" w:sz="4" w:space="0" w:color="auto"/>
            </w:tcBorders>
            <w:shd w:val="clear" w:color="auto" w:fill="auto"/>
            <w:noWrap/>
            <w:vAlign w:val="bottom"/>
          </w:tcPr>
          <w:p w14:paraId="555F6283"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492 491</w:t>
            </w:r>
          </w:p>
        </w:tc>
        <w:tc>
          <w:tcPr>
            <w:tcW w:w="990" w:type="dxa"/>
            <w:tcBorders>
              <w:top w:val="nil"/>
              <w:left w:val="nil"/>
              <w:bottom w:val="single" w:sz="4" w:space="0" w:color="auto"/>
              <w:right w:val="single" w:sz="4" w:space="0" w:color="auto"/>
            </w:tcBorders>
            <w:shd w:val="clear" w:color="auto" w:fill="auto"/>
            <w:noWrap/>
            <w:vAlign w:val="bottom"/>
          </w:tcPr>
          <w:p w14:paraId="47531B7F"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612,94</w:t>
            </w:r>
          </w:p>
        </w:tc>
      </w:tr>
      <w:tr w:rsidR="003877DE" w:rsidRPr="003877DE" w14:paraId="77414CBA" w14:textId="77777777" w:rsidTr="00607D0B">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43C1763" w14:textId="77777777" w:rsidR="003877DE" w:rsidRPr="003877DE" w:rsidRDefault="003877DE" w:rsidP="00897B41">
            <w:pPr>
              <w:rPr>
                <w:rFonts w:ascii="Times New Roman" w:hAnsi="Times New Roman" w:cs="Times New Roman"/>
                <w:color w:val="000000"/>
                <w:sz w:val="20"/>
                <w:szCs w:val="20"/>
              </w:rPr>
            </w:pPr>
            <w:r w:rsidRPr="003877DE">
              <w:rPr>
                <w:rFonts w:ascii="Times New Roman" w:hAnsi="Times New Roman" w:cs="Times New Roman"/>
                <w:color w:val="000000"/>
                <w:sz w:val="20"/>
                <w:szCs w:val="20"/>
              </w:rPr>
              <w:t xml:space="preserve">z toho na podpůrná opatření </w:t>
            </w:r>
          </w:p>
        </w:tc>
        <w:tc>
          <w:tcPr>
            <w:tcW w:w="1276" w:type="dxa"/>
            <w:tcBorders>
              <w:top w:val="nil"/>
              <w:left w:val="nil"/>
              <w:bottom w:val="single" w:sz="4" w:space="0" w:color="auto"/>
              <w:right w:val="single" w:sz="4" w:space="0" w:color="auto"/>
            </w:tcBorders>
            <w:shd w:val="clear" w:color="auto" w:fill="auto"/>
            <w:noWrap/>
            <w:vAlign w:val="bottom"/>
          </w:tcPr>
          <w:p w14:paraId="0059F72D"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267 139 692</w:t>
            </w:r>
          </w:p>
        </w:tc>
        <w:tc>
          <w:tcPr>
            <w:tcW w:w="1417" w:type="dxa"/>
            <w:tcBorders>
              <w:top w:val="nil"/>
              <w:left w:val="nil"/>
              <w:bottom w:val="single" w:sz="4" w:space="0" w:color="auto"/>
              <w:right w:val="single" w:sz="4" w:space="0" w:color="auto"/>
            </w:tcBorders>
            <w:shd w:val="clear" w:color="auto" w:fill="auto"/>
            <w:noWrap/>
            <w:vAlign w:val="bottom"/>
          </w:tcPr>
          <w:p w14:paraId="166C3465"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196 566 396</w:t>
            </w:r>
          </w:p>
        </w:tc>
        <w:tc>
          <w:tcPr>
            <w:tcW w:w="1694" w:type="dxa"/>
            <w:tcBorders>
              <w:top w:val="nil"/>
              <w:left w:val="nil"/>
              <w:bottom w:val="single" w:sz="4" w:space="0" w:color="auto"/>
              <w:right w:val="single" w:sz="4" w:space="0" w:color="auto"/>
            </w:tcBorders>
            <w:shd w:val="clear" w:color="auto" w:fill="auto"/>
            <w:noWrap/>
            <w:vAlign w:val="bottom"/>
          </w:tcPr>
          <w:p w14:paraId="5022BF43" w14:textId="77777777" w:rsidR="003877DE" w:rsidRPr="003877DE" w:rsidRDefault="003877DE" w:rsidP="00897B41">
            <w:pPr>
              <w:jc w:val="right"/>
              <w:rPr>
                <w:rFonts w:ascii="Times New Roman" w:hAnsi="Times New Roman" w:cs="Times New Roman"/>
                <w:color w:val="000000"/>
                <w:sz w:val="20"/>
                <w:szCs w:val="20"/>
              </w:rPr>
            </w:pPr>
          </w:p>
        </w:tc>
        <w:tc>
          <w:tcPr>
            <w:tcW w:w="860" w:type="dxa"/>
            <w:tcBorders>
              <w:top w:val="nil"/>
              <w:left w:val="nil"/>
              <w:bottom w:val="single" w:sz="4" w:space="0" w:color="auto"/>
              <w:right w:val="single" w:sz="4" w:space="0" w:color="auto"/>
            </w:tcBorders>
            <w:shd w:val="clear" w:color="auto" w:fill="auto"/>
            <w:noWrap/>
            <w:vAlign w:val="bottom"/>
          </w:tcPr>
          <w:p w14:paraId="60105ADD"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202 300</w:t>
            </w:r>
          </w:p>
        </w:tc>
        <w:tc>
          <w:tcPr>
            <w:tcW w:w="990" w:type="dxa"/>
            <w:tcBorders>
              <w:top w:val="nil"/>
              <w:left w:val="nil"/>
              <w:bottom w:val="single" w:sz="4" w:space="0" w:color="auto"/>
              <w:right w:val="single" w:sz="4" w:space="0" w:color="auto"/>
            </w:tcBorders>
            <w:shd w:val="clear" w:color="auto" w:fill="auto"/>
            <w:noWrap/>
            <w:vAlign w:val="bottom"/>
          </w:tcPr>
          <w:p w14:paraId="6E7AC76B" w14:textId="77777777" w:rsidR="003877DE" w:rsidRPr="003877DE" w:rsidRDefault="003877DE" w:rsidP="00897B41">
            <w:pPr>
              <w:jc w:val="right"/>
              <w:rPr>
                <w:rFonts w:ascii="Times New Roman" w:hAnsi="Times New Roman" w:cs="Times New Roman"/>
                <w:color w:val="000000"/>
                <w:sz w:val="20"/>
                <w:szCs w:val="20"/>
              </w:rPr>
            </w:pPr>
            <w:r w:rsidRPr="003877DE">
              <w:rPr>
                <w:rFonts w:ascii="Times New Roman" w:hAnsi="Times New Roman" w:cs="Times New Roman"/>
                <w:color w:val="000000"/>
                <w:sz w:val="20"/>
                <w:szCs w:val="20"/>
              </w:rPr>
              <w:t>575,35</w:t>
            </w:r>
          </w:p>
        </w:tc>
      </w:tr>
    </w:tbl>
    <w:p w14:paraId="1F297B53" w14:textId="77777777" w:rsidR="00346674" w:rsidRDefault="00346674" w:rsidP="00346674">
      <w:pPr>
        <w:jc w:val="both"/>
        <w:rPr>
          <w:rFonts w:ascii="Times New Roman" w:hAnsi="Times New Roman" w:cs="Times New Roman"/>
          <w:sz w:val="24"/>
          <w:szCs w:val="24"/>
        </w:rPr>
      </w:pPr>
    </w:p>
    <w:p w14:paraId="156CED75" w14:textId="77777777" w:rsidR="00346674" w:rsidRDefault="00346674" w:rsidP="00346674">
      <w:pPr>
        <w:jc w:val="both"/>
        <w:rPr>
          <w:rFonts w:ascii="Times New Roman" w:hAnsi="Times New Roman" w:cs="Times New Roman"/>
          <w:sz w:val="24"/>
          <w:szCs w:val="24"/>
        </w:rPr>
      </w:pPr>
      <w:r w:rsidRPr="00346674">
        <w:rPr>
          <w:rFonts w:ascii="Times New Roman" w:hAnsi="Times New Roman" w:cs="Times New Roman"/>
          <w:sz w:val="24"/>
          <w:szCs w:val="24"/>
        </w:rPr>
        <w:t>V roce 2021 je nově součástí rezervy objem finančních prostředků určený na vzdělávání žáků, kteří jsou dětmi osoby se státní příslušností jiného členského státu.  Rezerva je pro rok 2021 stanovena jako součin celkového počtu žáků počtu žáků dle § 20 odst. 5 školského zákona</w:t>
      </w:r>
      <w:r w:rsidR="00074908">
        <w:rPr>
          <w:rFonts w:ascii="Times New Roman" w:hAnsi="Times New Roman" w:cs="Times New Roman"/>
          <w:sz w:val="24"/>
          <w:szCs w:val="24"/>
        </w:rPr>
        <w:br/>
      </w:r>
      <w:r w:rsidRPr="00346674">
        <w:rPr>
          <w:rFonts w:ascii="Times New Roman" w:hAnsi="Times New Roman" w:cs="Times New Roman"/>
          <w:sz w:val="24"/>
          <w:szCs w:val="24"/>
        </w:rPr>
        <w:t>v základních školách ve výkazu M3 k 30. 9. 2020 v kraji a podílu celkové částky vyčleněné pro daný účel ve schváleném rozpočtu kapitoly 333 na rok 2021 a celkového počtu uvedených žáků v celé ČR.</w:t>
      </w:r>
    </w:p>
    <w:p w14:paraId="0EDE4DDD" w14:textId="77777777" w:rsidR="00074908" w:rsidRPr="00346674" w:rsidRDefault="00074908" w:rsidP="00346674">
      <w:pPr>
        <w:jc w:val="both"/>
        <w:rPr>
          <w:rFonts w:ascii="Times New Roman" w:hAnsi="Times New Roman" w:cs="Times New Roman"/>
          <w:sz w:val="24"/>
          <w:szCs w:val="24"/>
        </w:rPr>
      </w:pPr>
    </w:p>
    <w:p w14:paraId="015DDF25" w14:textId="77777777" w:rsidR="00E14282" w:rsidRDefault="00E14282" w:rsidP="00E14282">
      <w:pPr>
        <w:jc w:val="both"/>
        <w:rPr>
          <w:rFonts w:ascii="Times New Roman" w:hAnsi="Times New Roman" w:cs="Times New Roman"/>
          <w:sz w:val="24"/>
          <w:szCs w:val="24"/>
        </w:rPr>
      </w:pPr>
      <w:r w:rsidRPr="00E14282">
        <w:rPr>
          <w:rFonts w:ascii="Times New Roman" w:hAnsi="Times New Roman" w:cs="Times New Roman"/>
          <w:sz w:val="24"/>
          <w:szCs w:val="24"/>
        </w:rPr>
        <w:t>V „Principech normativního rozpisu rozpoč</w:t>
      </w:r>
      <w:r>
        <w:rPr>
          <w:rFonts w:ascii="Times New Roman" w:hAnsi="Times New Roman" w:cs="Times New Roman"/>
          <w:sz w:val="24"/>
          <w:szCs w:val="24"/>
        </w:rPr>
        <w:t xml:space="preserve">tu přímých výdajů </w:t>
      </w:r>
      <w:proofErr w:type="spellStart"/>
      <w:r>
        <w:rPr>
          <w:rFonts w:ascii="Times New Roman" w:hAnsi="Times New Roman" w:cs="Times New Roman"/>
          <w:sz w:val="24"/>
          <w:szCs w:val="24"/>
        </w:rPr>
        <w:t>RgŠ</w:t>
      </w:r>
      <w:proofErr w:type="spellEnd"/>
      <w:r>
        <w:rPr>
          <w:rFonts w:ascii="Times New Roman" w:hAnsi="Times New Roman" w:cs="Times New Roman"/>
          <w:sz w:val="24"/>
          <w:szCs w:val="24"/>
        </w:rPr>
        <w:t xml:space="preserve"> na rok 202</w:t>
      </w:r>
      <w:r w:rsidR="00CC51D0">
        <w:rPr>
          <w:rFonts w:ascii="Times New Roman" w:hAnsi="Times New Roman" w:cs="Times New Roman"/>
          <w:sz w:val="24"/>
          <w:szCs w:val="24"/>
        </w:rPr>
        <w:t>1</w:t>
      </w:r>
      <w:r w:rsidRPr="00E14282">
        <w:rPr>
          <w:rFonts w:ascii="Times New Roman" w:hAnsi="Times New Roman" w:cs="Times New Roman"/>
          <w:sz w:val="24"/>
          <w:szCs w:val="24"/>
        </w:rPr>
        <w:t>“ garantuje MŠMT pro rozpočet r</w:t>
      </w:r>
      <w:r>
        <w:rPr>
          <w:rFonts w:ascii="Times New Roman" w:hAnsi="Times New Roman" w:cs="Times New Roman"/>
          <w:sz w:val="24"/>
          <w:szCs w:val="24"/>
        </w:rPr>
        <w:t>oku 202</w:t>
      </w:r>
      <w:r w:rsidR="00CC51D0">
        <w:rPr>
          <w:rFonts w:ascii="Times New Roman" w:hAnsi="Times New Roman" w:cs="Times New Roman"/>
          <w:sz w:val="24"/>
          <w:szCs w:val="24"/>
        </w:rPr>
        <w:t>1</w:t>
      </w:r>
      <w:r w:rsidRPr="00E14282">
        <w:rPr>
          <w:rFonts w:ascii="Times New Roman" w:hAnsi="Times New Roman" w:cs="Times New Roman"/>
          <w:sz w:val="24"/>
          <w:szCs w:val="24"/>
        </w:rPr>
        <w:t xml:space="preserve"> zejména: </w:t>
      </w:r>
    </w:p>
    <w:p w14:paraId="09464957"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 xml:space="preserve">plné pokrytí nárůstu počtu dětí, žáků, studentů ve školním roce 2020/2021 oproti roku 2019/2020, </w:t>
      </w:r>
    </w:p>
    <w:p w14:paraId="6878393D"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zvýšení prostředků na platy pedagogických pracovníků o 9 % od 1. 1. 2021, z toho zvýšení platových tarifů o 4 %,</w:t>
      </w:r>
    </w:p>
    <w:p w14:paraId="6738CC10"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zvýšení prostředků na platy nepedagogických zaměstnanců o 4 % od 1. 1. 2021,</w:t>
      </w:r>
    </w:p>
    <w:p w14:paraId="08F95D61"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 xml:space="preserve">zvýšení finančních prostředků včetně zvýšení limitu počtu zaměstnanců v oblasti pedagogické práce na větší dělení hodin výuky v základních a středních školách v rámci maximálního počtu hodin výuky v základních a středních školách financovaného ze státního rozpočtu (tzv. </w:t>
      </w:r>
      <w:proofErr w:type="spellStart"/>
      <w:r w:rsidRPr="007B423D">
        <w:rPr>
          <w:rFonts w:ascii="Times New Roman" w:hAnsi="Times New Roman" w:cs="Times New Roman"/>
          <w:color w:val="000000"/>
          <w:sz w:val="24"/>
          <w:szCs w:val="24"/>
        </w:rPr>
        <w:t>PHmax</w:t>
      </w:r>
      <w:proofErr w:type="spellEnd"/>
      <w:r w:rsidRPr="007B423D">
        <w:rPr>
          <w:rFonts w:ascii="Times New Roman" w:hAnsi="Times New Roman" w:cs="Times New Roman"/>
          <w:color w:val="000000"/>
          <w:sz w:val="24"/>
          <w:szCs w:val="24"/>
        </w:rPr>
        <w:t>),</w:t>
      </w:r>
    </w:p>
    <w:p w14:paraId="6180045D"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zvýšení finančních prostředků včetně zvýšení limitu počtu zaměstnanců</w:t>
      </w:r>
      <w:r w:rsidR="00074908">
        <w:rPr>
          <w:rFonts w:ascii="Times New Roman" w:hAnsi="Times New Roman" w:cs="Times New Roman"/>
          <w:color w:val="000000"/>
          <w:sz w:val="24"/>
          <w:szCs w:val="24"/>
        </w:rPr>
        <w:br/>
      </w:r>
      <w:r w:rsidRPr="007B423D">
        <w:rPr>
          <w:rFonts w:ascii="Times New Roman" w:hAnsi="Times New Roman" w:cs="Times New Roman"/>
          <w:color w:val="000000"/>
          <w:sz w:val="24"/>
          <w:szCs w:val="24"/>
        </w:rPr>
        <w:t>na posílení nepedagogické práce v mateřských, základních a středních školách,</w:t>
      </w:r>
    </w:p>
    <w:p w14:paraId="0734517C" w14:textId="77777777" w:rsidR="007B423D" w:rsidRPr="007B423D" w:rsidRDefault="007B423D" w:rsidP="007B423D">
      <w:pPr>
        <w:numPr>
          <w:ilvl w:val="1"/>
          <w:numId w:val="10"/>
        </w:numPr>
        <w:spacing w:after="0" w:line="240" w:lineRule="auto"/>
        <w:jc w:val="both"/>
        <w:rPr>
          <w:rFonts w:ascii="Times New Roman" w:hAnsi="Times New Roman" w:cs="Times New Roman"/>
          <w:color w:val="000000"/>
          <w:sz w:val="24"/>
          <w:szCs w:val="24"/>
        </w:rPr>
      </w:pPr>
      <w:r w:rsidRPr="007B423D">
        <w:rPr>
          <w:rFonts w:ascii="Times New Roman" w:hAnsi="Times New Roman" w:cs="Times New Roman"/>
          <w:color w:val="000000"/>
          <w:sz w:val="24"/>
          <w:szCs w:val="24"/>
        </w:rPr>
        <w:t>zvýšení finančních prostředků v oblasti ostatních neinvestičních výdajů.</w:t>
      </w:r>
    </w:p>
    <w:p w14:paraId="7D26B286" w14:textId="77777777" w:rsidR="00CC51D0" w:rsidRDefault="00CC51D0" w:rsidP="00E14282">
      <w:pPr>
        <w:jc w:val="both"/>
        <w:rPr>
          <w:rFonts w:ascii="Times New Roman" w:hAnsi="Times New Roman" w:cs="Times New Roman"/>
          <w:sz w:val="24"/>
          <w:szCs w:val="24"/>
        </w:rPr>
      </w:pPr>
    </w:p>
    <w:p w14:paraId="509BAC86" w14:textId="77777777" w:rsidR="004C2ABF" w:rsidRDefault="004C2ABF" w:rsidP="00E14282">
      <w:pPr>
        <w:pStyle w:val="Odstavecseseznamem"/>
        <w:spacing w:after="0"/>
        <w:ind w:left="714"/>
        <w:jc w:val="both"/>
        <w:rPr>
          <w:rFonts w:ascii="Times New Roman" w:hAnsi="Times New Roman" w:cs="Times New Roman"/>
          <w:sz w:val="24"/>
          <w:szCs w:val="24"/>
        </w:rPr>
      </w:pPr>
    </w:p>
    <w:p w14:paraId="7F36759B" w14:textId="77777777" w:rsidR="00074908" w:rsidRDefault="00074908" w:rsidP="00E14282">
      <w:pPr>
        <w:pStyle w:val="Odstavecseseznamem"/>
        <w:spacing w:after="0"/>
        <w:ind w:left="714"/>
        <w:jc w:val="both"/>
        <w:rPr>
          <w:rFonts w:ascii="Times New Roman" w:hAnsi="Times New Roman" w:cs="Times New Roman"/>
          <w:sz w:val="24"/>
          <w:szCs w:val="24"/>
        </w:rPr>
      </w:pPr>
    </w:p>
    <w:p w14:paraId="674AAED9" w14:textId="77777777" w:rsidR="00074908" w:rsidRDefault="00074908" w:rsidP="00E14282">
      <w:pPr>
        <w:pStyle w:val="Odstavecseseznamem"/>
        <w:spacing w:after="0"/>
        <w:ind w:left="714"/>
        <w:jc w:val="both"/>
        <w:rPr>
          <w:rFonts w:ascii="Times New Roman" w:hAnsi="Times New Roman" w:cs="Times New Roman"/>
          <w:sz w:val="24"/>
          <w:szCs w:val="24"/>
        </w:rPr>
      </w:pPr>
    </w:p>
    <w:p w14:paraId="37229845" w14:textId="77777777" w:rsidR="00E14282" w:rsidRPr="004C2ABF" w:rsidRDefault="004C2ABF" w:rsidP="004C2ABF">
      <w:pPr>
        <w:jc w:val="both"/>
        <w:rPr>
          <w:rFonts w:ascii="Times New Roman" w:hAnsi="Times New Roman" w:cs="Times New Roman"/>
          <w:b/>
          <w:sz w:val="24"/>
          <w:szCs w:val="24"/>
        </w:rPr>
      </w:pPr>
      <w:r>
        <w:rPr>
          <w:rFonts w:ascii="Times New Roman" w:hAnsi="Times New Roman" w:cs="Times New Roman"/>
          <w:b/>
          <w:sz w:val="24"/>
          <w:szCs w:val="24"/>
        </w:rPr>
        <w:lastRenderedPageBreak/>
        <w:t>Rozpis rozpočtu přímých NIV</w:t>
      </w:r>
      <w:r w:rsidR="006F46BE">
        <w:rPr>
          <w:rFonts w:ascii="Times New Roman" w:hAnsi="Times New Roman" w:cs="Times New Roman"/>
          <w:b/>
          <w:sz w:val="24"/>
          <w:szCs w:val="24"/>
        </w:rPr>
        <w:t xml:space="preserve"> </w:t>
      </w:r>
      <w:r>
        <w:rPr>
          <w:rFonts w:ascii="Times New Roman" w:hAnsi="Times New Roman" w:cs="Times New Roman"/>
          <w:b/>
          <w:sz w:val="24"/>
          <w:szCs w:val="24"/>
        </w:rPr>
        <w:t>na rok 202</w:t>
      </w:r>
      <w:r w:rsidR="009C0E44">
        <w:rPr>
          <w:rFonts w:ascii="Times New Roman" w:hAnsi="Times New Roman" w:cs="Times New Roman"/>
          <w:b/>
          <w:sz w:val="24"/>
          <w:szCs w:val="24"/>
        </w:rPr>
        <w:t>1</w:t>
      </w:r>
    </w:p>
    <w:p w14:paraId="453855F3" w14:textId="77777777" w:rsidR="004C2ABF" w:rsidRDefault="00573AF5" w:rsidP="004C2ABF">
      <w:pPr>
        <w:jc w:val="both"/>
        <w:rPr>
          <w:rFonts w:ascii="Times New Roman" w:hAnsi="Times New Roman" w:cs="Times New Roman"/>
          <w:sz w:val="24"/>
          <w:szCs w:val="24"/>
        </w:rPr>
      </w:pPr>
      <w:r w:rsidRPr="00924E27">
        <w:rPr>
          <w:rFonts w:ascii="Times New Roman" w:hAnsi="Times New Roman" w:cs="Times New Roman"/>
          <w:b/>
          <w:sz w:val="24"/>
          <w:szCs w:val="24"/>
        </w:rPr>
        <w:t>MŠMT stanovilo</w:t>
      </w:r>
      <w:r w:rsidRPr="00573AF5">
        <w:rPr>
          <w:rFonts w:ascii="Times New Roman" w:hAnsi="Times New Roman" w:cs="Times New Roman"/>
          <w:sz w:val="24"/>
          <w:szCs w:val="24"/>
        </w:rPr>
        <w:t xml:space="preserve"> pro jednotlivé právnické osoby vykonávající činnost školy nebo školského zařízení uvedené v § 161 odst. 1 školského zákona </w:t>
      </w:r>
      <w:r w:rsidRPr="00924E27">
        <w:rPr>
          <w:rFonts w:ascii="Times New Roman" w:hAnsi="Times New Roman" w:cs="Times New Roman"/>
          <w:b/>
          <w:sz w:val="24"/>
          <w:szCs w:val="24"/>
        </w:rPr>
        <w:t>výši finančních prostředků</w:t>
      </w:r>
      <w:r w:rsidRPr="00573AF5">
        <w:rPr>
          <w:rFonts w:ascii="Times New Roman" w:hAnsi="Times New Roman" w:cs="Times New Roman"/>
          <w:sz w:val="24"/>
          <w:szCs w:val="24"/>
        </w:rPr>
        <w:t xml:space="preserve"> na vzdělávání a školské služby podle § 161 odst. 3 písm. a) až h) a § 161 odst. 4 </w:t>
      </w:r>
      <w:r w:rsidRPr="00924E27">
        <w:rPr>
          <w:rFonts w:ascii="Times New Roman" w:hAnsi="Times New Roman" w:cs="Times New Roman"/>
          <w:b/>
          <w:sz w:val="24"/>
          <w:szCs w:val="24"/>
        </w:rPr>
        <w:t xml:space="preserve">na </w:t>
      </w:r>
      <w:r w:rsidR="00924E27" w:rsidRPr="00924E27">
        <w:rPr>
          <w:rFonts w:ascii="Times New Roman" w:hAnsi="Times New Roman" w:cs="Times New Roman"/>
          <w:b/>
          <w:sz w:val="24"/>
          <w:szCs w:val="24"/>
        </w:rPr>
        <w:t xml:space="preserve">celý </w:t>
      </w:r>
      <w:r w:rsidRPr="00924E27">
        <w:rPr>
          <w:rFonts w:ascii="Times New Roman" w:hAnsi="Times New Roman" w:cs="Times New Roman"/>
          <w:b/>
          <w:sz w:val="24"/>
          <w:szCs w:val="24"/>
        </w:rPr>
        <w:t>kalendářní rok</w:t>
      </w:r>
      <w:r w:rsidRPr="00573AF5">
        <w:rPr>
          <w:rFonts w:ascii="Times New Roman" w:hAnsi="Times New Roman" w:cs="Times New Roman"/>
          <w:sz w:val="24"/>
          <w:szCs w:val="24"/>
        </w:rPr>
        <w:t>.</w:t>
      </w:r>
    </w:p>
    <w:p w14:paraId="1D461EAD" w14:textId="77777777" w:rsidR="007A2766" w:rsidRDefault="007A2766" w:rsidP="007A2766">
      <w:pPr>
        <w:jc w:val="both"/>
        <w:rPr>
          <w:rFonts w:ascii="Times New Roman" w:hAnsi="Times New Roman" w:cs="Times New Roman"/>
          <w:sz w:val="24"/>
          <w:szCs w:val="24"/>
        </w:rPr>
      </w:pPr>
      <w:r w:rsidRPr="007A2766">
        <w:rPr>
          <w:rFonts w:ascii="Times New Roman" w:hAnsi="Times New Roman" w:cs="Times New Roman"/>
          <w:sz w:val="24"/>
          <w:szCs w:val="24"/>
        </w:rPr>
        <w:t>Objem celkových finančních prostředků pro školská zařízení s výjimkou pedagogické práce</w:t>
      </w:r>
      <w:r w:rsidR="00074908">
        <w:rPr>
          <w:rFonts w:ascii="Times New Roman" w:hAnsi="Times New Roman" w:cs="Times New Roman"/>
          <w:sz w:val="24"/>
          <w:szCs w:val="24"/>
        </w:rPr>
        <w:br/>
      </w:r>
      <w:r w:rsidRPr="007A2766">
        <w:rPr>
          <w:rFonts w:ascii="Times New Roman" w:hAnsi="Times New Roman" w:cs="Times New Roman"/>
          <w:sz w:val="24"/>
          <w:szCs w:val="24"/>
        </w:rPr>
        <w:t>ve školních družinách stanovilo ministerstvo krajům prostřednictvím tzv. republikových normativů</w:t>
      </w:r>
      <w:r>
        <w:rPr>
          <w:rFonts w:ascii="Times New Roman" w:hAnsi="Times New Roman" w:cs="Times New Roman"/>
          <w:sz w:val="24"/>
          <w:szCs w:val="24"/>
        </w:rPr>
        <w:t xml:space="preserve">, a to včetně vyjádření </w:t>
      </w:r>
      <w:r w:rsidRPr="007A2766">
        <w:rPr>
          <w:rFonts w:ascii="Times New Roman" w:hAnsi="Times New Roman" w:cs="Times New Roman"/>
          <w:sz w:val="24"/>
          <w:szCs w:val="24"/>
        </w:rPr>
        <w:t xml:space="preserve">limitu počtu zaměstnanců připadajících na příslušnou jednotku výkonu. K rozpisu těchto prostředků do rozpočtu jednotlivých právnických osob vykonávajících činnost školských zařízení slouží </w:t>
      </w:r>
      <w:r w:rsidRPr="00E71578">
        <w:rPr>
          <w:rFonts w:ascii="Times New Roman" w:hAnsi="Times New Roman" w:cs="Times New Roman"/>
          <w:b/>
          <w:sz w:val="24"/>
          <w:szCs w:val="24"/>
        </w:rPr>
        <w:t>krajské normativy</w:t>
      </w:r>
      <w:r w:rsidRPr="007A2766">
        <w:rPr>
          <w:rFonts w:ascii="Times New Roman" w:hAnsi="Times New Roman" w:cs="Times New Roman"/>
          <w:sz w:val="24"/>
          <w:szCs w:val="24"/>
        </w:rPr>
        <w:t>, jejichž stanovení je</w:t>
      </w:r>
      <w:r w:rsidR="00074908">
        <w:rPr>
          <w:rFonts w:ascii="Times New Roman" w:hAnsi="Times New Roman" w:cs="Times New Roman"/>
          <w:sz w:val="24"/>
          <w:szCs w:val="24"/>
        </w:rPr>
        <w:br/>
      </w:r>
      <w:r w:rsidRPr="007A2766">
        <w:rPr>
          <w:rFonts w:ascii="Times New Roman" w:hAnsi="Times New Roman" w:cs="Times New Roman"/>
          <w:sz w:val="24"/>
          <w:szCs w:val="24"/>
        </w:rPr>
        <w:t>v přenesené působnosti výkonu státní správy</w:t>
      </w:r>
      <w:r w:rsidR="00436755">
        <w:rPr>
          <w:rFonts w:ascii="Times New Roman" w:hAnsi="Times New Roman" w:cs="Times New Roman"/>
          <w:sz w:val="24"/>
          <w:szCs w:val="24"/>
        </w:rPr>
        <w:t xml:space="preserve"> v kompetenci</w:t>
      </w:r>
      <w:r w:rsidRPr="007A2766">
        <w:rPr>
          <w:rFonts w:ascii="Times New Roman" w:hAnsi="Times New Roman" w:cs="Times New Roman"/>
          <w:sz w:val="24"/>
          <w:szCs w:val="24"/>
        </w:rPr>
        <w:t xml:space="preserve"> krajských úřadů.</w:t>
      </w:r>
      <w:r w:rsidR="00723ABD">
        <w:rPr>
          <w:rFonts w:ascii="Times New Roman" w:hAnsi="Times New Roman" w:cs="Times New Roman"/>
          <w:sz w:val="24"/>
          <w:szCs w:val="24"/>
        </w:rPr>
        <w:t xml:space="preserve"> </w:t>
      </w:r>
      <w:r w:rsidR="0045458E">
        <w:rPr>
          <w:rFonts w:ascii="Times New Roman" w:hAnsi="Times New Roman" w:cs="Times New Roman"/>
          <w:sz w:val="24"/>
          <w:szCs w:val="24"/>
        </w:rPr>
        <w:t>Soustava krajských normativů je nedílnou součástí Krajské</w:t>
      </w:r>
      <w:r w:rsidR="0045458E" w:rsidRPr="0045458E">
        <w:rPr>
          <w:rFonts w:ascii="Times New Roman" w:hAnsi="Times New Roman" w:cs="Times New Roman"/>
          <w:sz w:val="24"/>
          <w:szCs w:val="24"/>
        </w:rPr>
        <w:t xml:space="preserve"> metodik</w:t>
      </w:r>
      <w:r w:rsidR="0045458E">
        <w:rPr>
          <w:rFonts w:ascii="Times New Roman" w:hAnsi="Times New Roman" w:cs="Times New Roman"/>
          <w:sz w:val="24"/>
          <w:szCs w:val="24"/>
        </w:rPr>
        <w:t xml:space="preserve">y. </w:t>
      </w:r>
    </w:p>
    <w:p w14:paraId="26138CB2" w14:textId="77777777" w:rsidR="009273FA" w:rsidRDefault="00BC2286" w:rsidP="004C2ABF">
      <w:pPr>
        <w:jc w:val="both"/>
        <w:rPr>
          <w:rFonts w:ascii="Times New Roman" w:hAnsi="Times New Roman" w:cs="Times New Roman"/>
          <w:sz w:val="24"/>
          <w:szCs w:val="24"/>
        </w:rPr>
      </w:pPr>
      <w:r w:rsidRPr="00BC2286">
        <w:rPr>
          <w:rFonts w:ascii="Times New Roman" w:hAnsi="Times New Roman" w:cs="Times New Roman"/>
          <w:sz w:val="24"/>
          <w:szCs w:val="24"/>
        </w:rPr>
        <w:t xml:space="preserve">Krajské normativy byly stanoveny tak, aby pokryly veškeré aktivity školských zařízení </w:t>
      </w:r>
      <w:r>
        <w:rPr>
          <w:rFonts w:ascii="Times New Roman" w:hAnsi="Times New Roman" w:cs="Times New Roman"/>
          <w:sz w:val="24"/>
          <w:szCs w:val="24"/>
        </w:rPr>
        <w:t xml:space="preserve">s výjimkou pedagogické práce </w:t>
      </w:r>
      <w:r w:rsidRPr="00BC2286">
        <w:rPr>
          <w:rFonts w:ascii="Times New Roman" w:hAnsi="Times New Roman" w:cs="Times New Roman"/>
          <w:sz w:val="24"/>
          <w:szCs w:val="24"/>
        </w:rPr>
        <w:t xml:space="preserve">související s výchovou a vzděláváním. Pro normativní rozpis byly použity ukazatele </w:t>
      </w:r>
      <w:proofErr w:type="spellStart"/>
      <w:r w:rsidRPr="00BC2286">
        <w:rPr>
          <w:rFonts w:ascii="Times New Roman" w:hAnsi="Times New Roman" w:cs="Times New Roman"/>
          <w:sz w:val="24"/>
          <w:szCs w:val="24"/>
        </w:rPr>
        <w:t>Np</w:t>
      </w:r>
      <w:proofErr w:type="spellEnd"/>
      <w:r w:rsidRPr="00BC2286">
        <w:rPr>
          <w:rFonts w:ascii="Times New Roman" w:hAnsi="Times New Roman" w:cs="Times New Roman"/>
          <w:sz w:val="24"/>
          <w:szCs w:val="24"/>
        </w:rPr>
        <w:t>, No, Pp, Po, ONIV (viz Krajská metodika) a údaje ze statistických výkonových výkazů na školní rok 20</w:t>
      </w:r>
      <w:r w:rsidR="009C0E44">
        <w:rPr>
          <w:rFonts w:ascii="Times New Roman" w:hAnsi="Times New Roman" w:cs="Times New Roman"/>
          <w:sz w:val="24"/>
          <w:szCs w:val="24"/>
        </w:rPr>
        <w:t>20</w:t>
      </w:r>
      <w:r w:rsidR="001E1DC9">
        <w:rPr>
          <w:rFonts w:ascii="Times New Roman" w:hAnsi="Times New Roman" w:cs="Times New Roman"/>
          <w:sz w:val="24"/>
          <w:szCs w:val="24"/>
        </w:rPr>
        <w:t>/202</w:t>
      </w:r>
      <w:r w:rsidR="009C0E44">
        <w:rPr>
          <w:rFonts w:ascii="Times New Roman" w:hAnsi="Times New Roman" w:cs="Times New Roman"/>
          <w:sz w:val="24"/>
          <w:szCs w:val="24"/>
        </w:rPr>
        <w:t>1</w:t>
      </w:r>
      <w:r w:rsidRPr="00BC2286">
        <w:rPr>
          <w:rFonts w:ascii="Times New Roman" w:hAnsi="Times New Roman" w:cs="Times New Roman"/>
          <w:sz w:val="24"/>
          <w:szCs w:val="24"/>
        </w:rPr>
        <w:t xml:space="preserve">. </w:t>
      </w:r>
    </w:p>
    <w:p w14:paraId="570944D5" w14:textId="77777777" w:rsidR="00901109" w:rsidRPr="00901109" w:rsidRDefault="00901109" w:rsidP="00901109">
      <w:pPr>
        <w:jc w:val="both"/>
        <w:rPr>
          <w:rFonts w:ascii="Times New Roman" w:hAnsi="Times New Roman" w:cs="Times New Roman"/>
          <w:sz w:val="24"/>
          <w:szCs w:val="24"/>
        </w:rPr>
      </w:pPr>
      <w:r w:rsidRPr="00901109">
        <w:rPr>
          <w:rFonts w:ascii="Times New Roman" w:hAnsi="Times New Roman" w:cs="Times New Roman"/>
          <w:sz w:val="24"/>
          <w:szCs w:val="24"/>
        </w:rPr>
        <w:t xml:space="preserve">Způsob stanovení ukazatelů </w:t>
      </w:r>
      <w:proofErr w:type="spellStart"/>
      <w:r w:rsidRPr="00C34335">
        <w:rPr>
          <w:rFonts w:ascii="Times New Roman" w:hAnsi="Times New Roman" w:cs="Times New Roman"/>
          <w:b/>
          <w:sz w:val="24"/>
          <w:szCs w:val="24"/>
        </w:rPr>
        <w:t>Np</w:t>
      </w:r>
      <w:proofErr w:type="spellEnd"/>
      <w:r w:rsidRPr="00901109">
        <w:rPr>
          <w:rFonts w:ascii="Times New Roman" w:hAnsi="Times New Roman" w:cs="Times New Roman"/>
          <w:sz w:val="24"/>
          <w:szCs w:val="24"/>
        </w:rPr>
        <w:t xml:space="preserve"> a </w:t>
      </w:r>
      <w:r w:rsidRPr="00C34335">
        <w:rPr>
          <w:rFonts w:ascii="Times New Roman" w:hAnsi="Times New Roman" w:cs="Times New Roman"/>
          <w:b/>
          <w:sz w:val="24"/>
          <w:szCs w:val="24"/>
        </w:rPr>
        <w:t>No</w:t>
      </w:r>
      <w:r w:rsidRPr="00901109">
        <w:rPr>
          <w:rFonts w:ascii="Times New Roman" w:hAnsi="Times New Roman" w:cs="Times New Roman"/>
          <w:sz w:val="24"/>
          <w:szCs w:val="24"/>
        </w:rPr>
        <w:t xml:space="preserve"> je dán vyhláškou č. </w:t>
      </w:r>
      <w:r>
        <w:rPr>
          <w:rFonts w:ascii="Times New Roman" w:hAnsi="Times New Roman" w:cs="Times New Roman"/>
          <w:sz w:val="24"/>
          <w:szCs w:val="24"/>
        </w:rPr>
        <w:t>310</w:t>
      </w:r>
      <w:r w:rsidRPr="00901109">
        <w:rPr>
          <w:rFonts w:ascii="Times New Roman" w:hAnsi="Times New Roman" w:cs="Times New Roman"/>
          <w:sz w:val="24"/>
          <w:szCs w:val="24"/>
        </w:rPr>
        <w:t>/20</w:t>
      </w:r>
      <w:r>
        <w:rPr>
          <w:rFonts w:ascii="Times New Roman" w:hAnsi="Times New Roman" w:cs="Times New Roman"/>
          <w:sz w:val="24"/>
          <w:szCs w:val="24"/>
        </w:rPr>
        <w:t>18</w:t>
      </w:r>
      <w:r w:rsidRPr="00901109">
        <w:rPr>
          <w:rFonts w:ascii="Times New Roman" w:hAnsi="Times New Roman" w:cs="Times New Roman"/>
          <w:sz w:val="24"/>
          <w:szCs w:val="24"/>
        </w:rPr>
        <w:t xml:space="preserve"> Sb., o krajských normativech.</w:t>
      </w:r>
      <w:r>
        <w:rPr>
          <w:rFonts w:ascii="Times New Roman" w:hAnsi="Times New Roman" w:cs="Times New Roman"/>
          <w:sz w:val="24"/>
          <w:szCs w:val="24"/>
        </w:rPr>
        <w:t xml:space="preserve"> </w:t>
      </w:r>
      <w:r w:rsidRPr="00901109">
        <w:rPr>
          <w:rFonts w:ascii="Times New Roman" w:hAnsi="Times New Roman" w:cs="Times New Roman"/>
          <w:sz w:val="24"/>
          <w:szCs w:val="24"/>
        </w:rPr>
        <w:t xml:space="preserve">Způsoby výpočtu, resp. hodnoty </w:t>
      </w:r>
      <w:r w:rsidR="004C095B">
        <w:rPr>
          <w:rFonts w:ascii="Times New Roman" w:hAnsi="Times New Roman" w:cs="Times New Roman"/>
          <w:sz w:val="24"/>
          <w:szCs w:val="24"/>
        </w:rPr>
        <w:t xml:space="preserve">obou </w:t>
      </w:r>
      <w:r w:rsidRPr="00901109">
        <w:rPr>
          <w:rFonts w:ascii="Times New Roman" w:hAnsi="Times New Roman" w:cs="Times New Roman"/>
          <w:sz w:val="24"/>
          <w:szCs w:val="24"/>
        </w:rPr>
        <w:t>ukazatelů, jsou podrobně popsány</w:t>
      </w:r>
      <w:r w:rsidR="00074908">
        <w:rPr>
          <w:rFonts w:ascii="Times New Roman" w:hAnsi="Times New Roman" w:cs="Times New Roman"/>
          <w:sz w:val="24"/>
          <w:szCs w:val="24"/>
        </w:rPr>
        <w:br/>
      </w:r>
      <w:r w:rsidRPr="00901109">
        <w:rPr>
          <w:rFonts w:ascii="Times New Roman" w:hAnsi="Times New Roman" w:cs="Times New Roman"/>
          <w:sz w:val="24"/>
          <w:szCs w:val="24"/>
        </w:rPr>
        <w:t xml:space="preserve">v Krajské metodice. </w:t>
      </w:r>
    </w:p>
    <w:p w14:paraId="19A273C0" w14:textId="77777777" w:rsidR="00C21C5B" w:rsidRDefault="00C21C5B" w:rsidP="00C21C5B">
      <w:pPr>
        <w:jc w:val="both"/>
        <w:rPr>
          <w:rFonts w:ascii="Times New Roman" w:hAnsi="Times New Roman" w:cs="Times New Roman"/>
          <w:sz w:val="24"/>
          <w:szCs w:val="24"/>
        </w:rPr>
      </w:pPr>
      <w:r w:rsidRPr="00C21C5B">
        <w:rPr>
          <w:rFonts w:ascii="Times New Roman" w:hAnsi="Times New Roman" w:cs="Times New Roman"/>
          <w:sz w:val="24"/>
          <w:szCs w:val="24"/>
        </w:rPr>
        <w:t>Hodnoty ukazatelů Pp (průměrný měsíční plat pedagogického pracovníka) a Po (průměrný měsíční plat nepedagogického pracovníka) vycházejí z hodnot vykázaných školami v roce 2020 ve čtvrtletních výkazech o zaměstnancích a mzdových prostředcích v regionálním školství. Jejich výše je upravena tak, aby zabezpečila nárůst platových tarifů od 1. 1. 2021.</w:t>
      </w:r>
      <w:r>
        <w:rPr>
          <w:rFonts w:ascii="Times New Roman" w:hAnsi="Times New Roman" w:cs="Times New Roman"/>
          <w:sz w:val="24"/>
          <w:szCs w:val="24"/>
        </w:rPr>
        <w:t xml:space="preserve"> J</w:t>
      </w:r>
      <w:r w:rsidRPr="00C21C5B">
        <w:rPr>
          <w:rFonts w:ascii="Times New Roman" w:hAnsi="Times New Roman" w:cs="Times New Roman"/>
          <w:sz w:val="24"/>
          <w:szCs w:val="24"/>
        </w:rPr>
        <w:t>edná se</w:t>
      </w:r>
      <w:r w:rsidR="00D33884">
        <w:rPr>
          <w:rFonts w:ascii="Times New Roman" w:hAnsi="Times New Roman" w:cs="Times New Roman"/>
          <w:sz w:val="24"/>
          <w:szCs w:val="24"/>
        </w:rPr>
        <w:br/>
      </w:r>
      <w:r w:rsidRPr="00C21C5B">
        <w:rPr>
          <w:rFonts w:ascii="Times New Roman" w:hAnsi="Times New Roman" w:cs="Times New Roman"/>
          <w:sz w:val="24"/>
          <w:szCs w:val="24"/>
        </w:rPr>
        <w:t>o zvýšení platů pedagogických pracovníků o 9 % od 1. 1. 2021, z toho zv</w:t>
      </w:r>
      <w:r>
        <w:rPr>
          <w:rFonts w:ascii="Times New Roman" w:hAnsi="Times New Roman" w:cs="Times New Roman"/>
          <w:sz w:val="24"/>
          <w:szCs w:val="24"/>
        </w:rPr>
        <w:t xml:space="preserve">ýšení platových tarifů o 4 %, a </w:t>
      </w:r>
      <w:r w:rsidRPr="00C21C5B">
        <w:rPr>
          <w:rFonts w:ascii="Times New Roman" w:hAnsi="Times New Roman" w:cs="Times New Roman"/>
          <w:sz w:val="24"/>
          <w:szCs w:val="24"/>
        </w:rPr>
        <w:t>zvýšení platů nepedagogických zaměstnanců o 4 % od 1. 1. 2021.</w:t>
      </w:r>
    </w:p>
    <w:p w14:paraId="083F5476" w14:textId="77777777" w:rsidR="00CC0E3F" w:rsidRDefault="00CC0E3F" w:rsidP="00C21C5B">
      <w:pPr>
        <w:jc w:val="both"/>
        <w:rPr>
          <w:rFonts w:ascii="Times New Roman" w:hAnsi="Times New Roman" w:cs="Times New Roman"/>
          <w:sz w:val="24"/>
          <w:szCs w:val="24"/>
        </w:rPr>
      </w:pPr>
    </w:p>
    <w:p w14:paraId="0097DFD4" w14:textId="77777777" w:rsidR="00CC0E3F" w:rsidRPr="00CC0E3F" w:rsidRDefault="00CC0E3F" w:rsidP="00CC0E3F">
      <w:pPr>
        <w:jc w:val="both"/>
        <w:rPr>
          <w:rFonts w:ascii="Times New Roman" w:hAnsi="Times New Roman" w:cs="Times New Roman"/>
          <w:sz w:val="24"/>
          <w:szCs w:val="24"/>
        </w:rPr>
      </w:pPr>
      <w:r w:rsidRPr="00CC0E3F">
        <w:rPr>
          <w:rFonts w:ascii="Times New Roman" w:hAnsi="Times New Roman" w:cs="Times New Roman"/>
          <w:sz w:val="24"/>
          <w:szCs w:val="24"/>
        </w:rPr>
        <w:t>Ukazatel průměrné roční výše ostatních neinvestičních výdajů ze státního rozpočtu připadajících na jednotku výkonu (</w:t>
      </w:r>
      <w:r w:rsidRPr="00697611">
        <w:rPr>
          <w:rFonts w:ascii="Times New Roman" w:hAnsi="Times New Roman" w:cs="Times New Roman"/>
          <w:b/>
          <w:sz w:val="24"/>
          <w:szCs w:val="24"/>
        </w:rPr>
        <w:t>ONIV</w:t>
      </w:r>
      <w:r w:rsidRPr="00CC0E3F">
        <w:rPr>
          <w:rFonts w:ascii="Times New Roman" w:hAnsi="Times New Roman" w:cs="Times New Roman"/>
          <w:sz w:val="24"/>
          <w:szCs w:val="24"/>
        </w:rPr>
        <w:t>) byl ve srovnání s rokem 2020 navýšen s</w:t>
      </w:r>
      <w:r w:rsidR="00D33884">
        <w:rPr>
          <w:rFonts w:ascii="Times New Roman" w:hAnsi="Times New Roman" w:cs="Times New Roman"/>
          <w:sz w:val="24"/>
          <w:szCs w:val="24"/>
        </w:rPr>
        <w:t> </w:t>
      </w:r>
      <w:r w:rsidRPr="00CC0E3F">
        <w:rPr>
          <w:rFonts w:ascii="Times New Roman" w:hAnsi="Times New Roman" w:cs="Times New Roman"/>
          <w:sz w:val="24"/>
          <w:szCs w:val="24"/>
        </w:rPr>
        <w:t>ohledem</w:t>
      </w:r>
      <w:r w:rsidR="00D33884">
        <w:rPr>
          <w:rFonts w:ascii="Times New Roman" w:hAnsi="Times New Roman" w:cs="Times New Roman"/>
          <w:sz w:val="24"/>
          <w:szCs w:val="24"/>
        </w:rPr>
        <w:br/>
      </w:r>
      <w:r w:rsidRPr="00CC0E3F">
        <w:rPr>
          <w:rFonts w:ascii="Times New Roman" w:hAnsi="Times New Roman" w:cs="Times New Roman"/>
          <w:sz w:val="24"/>
          <w:szCs w:val="24"/>
        </w:rPr>
        <w:t>na zvýšené požadavky na náhrady platu pracovníků v době zvýšené nemocnosti a karantény. Rok 2020 byl z tohoto pohledu výjimečný. Dále navýšení normativů ONIV v republikových normativech z části kompenzuje zrušení tzv. karenční doby a s tím spojené povinnosti vyplácení náhrad i za první 3 dny nemoci zaměstnanců školských zařízení. Normativ ONIV na rodinnou skupinu dětského domova byl v souladu s rozpisem rozpočtu Ministerstvo školství, mládeže</w:t>
      </w:r>
      <w:r w:rsidR="00D33884">
        <w:rPr>
          <w:rFonts w:ascii="Times New Roman" w:hAnsi="Times New Roman" w:cs="Times New Roman"/>
          <w:sz w:val="24"/>
          <w:szCs w:val="24"/>
        </w:rPr>
        <w:br/>
      </w:r>
      <w:r w:rsidRPr="00CC0E3F">
        <w:rPr>
          <w:rFonts w:ascii="Times New Roman" w:hAnsi="Times New Roman" w:cs="Times New Roman"/>
          <w:sz w:val="24"/>
          <w:szCs w:val="24"/>
        </w:rPr>
        <w:t>a tělovýchovy ČR mimořádně a jednorázově navýšen v souvislosti se zvýšenými výdaji po dobu nouzového stavu vyhlášeného v souvislosti s onemocněním covid-19.</w:t>
      </w:r>
      <w:r w:rsidR="00697611">
        <w:rPr>
          <w:rFonts w:ascii="Times New Roman" w:hAnsi="Times New Roman" w:cs="Times New Roman"/>
          <w:sz w:val="24"/>
          <w:szCs w:val="24"/>
        </w:rPr>
        <w:t xml:space="preserve"> </w:t>
      </w:r>
      <w:r w:rsidRPr="00CC0E3F">
        <w:rPr>
          <w:rFonts w:ascii="Times New Roman" w:hAnsi="Times New Roman" w:cs="Times New Roman"/>
          <w:sz w:val="24"/>
          <w:szCs w:val="24"/>
        </w:rPr>
        <w:t>Ukazatel ONIV, ačkoliv je vázán pouze na jednotku výkonu, v sobě zahrnuje ONIV normativní (vztahující se</w:t>
      </w:r>
      <w:r w:rsidR="00D33884">
        <w:rPr>
          <w:rFonts w:ascii="Times New Roman" w:hAnsi="Times New Roman" w:cs="Times New Roman"/>
          <w:sz w:val="24"/>
          <w:szCs w:val="24"/>
        </w:rPr>
        <w:br/>
      </w:r>
      <w:r w:rsidRPr="00CC0E3F">
        <w:rPr>
          <w:rFonts w:ascii="Times New Roman" w:hAnsi="Times New Roman" w:cs="Times New Roman"/>
          <w:sz w:val="24"/>
          <w:szCs w:val="24"/>
        </w:rPr>
        <w:t xml:space="preserve">na jednotku výkonu) i ONIV náhrady (určené na náhradu mzdy po dobu prvních </w:t>
      </w:r>
      <w:r w:rsidRPr="00CC0E3F">
        <w:rPr>
          <w:rFonts w:ascii="Times New Roman" w:hAnsi="Times New Roman" w:cs="Times New Roman"/>
          <w:sz w:val="24"/>
          <w:szCs w:val="24"/>
        </w:rPr>
        <w:br/>
        <w:t>14 kalendářních dnů dočasné pracovní neschopnosti).</w:t>
      </w:r>
    </w:p>
    <w:p w14:paraId="5D727AE4" w14:textId="77777777" w:rsidR="00E01556" w:rsidRPr="00E01556" w:rsidRDefault="00E01556" w:rsidP="00E01556">
      <w:pPr>
        <w:jc w:val="both"/>
        <w:rPr>
          <w:rFonts w:ascii="Times New Roman" w:hAnsi="Times New Roman" w:cs="Times New Roman"/>
          <w:sz w:val="24"/>
          <w:szCs w:val="24"/>
        </w:rPr>
      </w:pPr>
      <w:r w:rsidRPr="00E01556">
        <w:rPr>
          <w:rFonts w:ascii="Times New Roman" w:hAnsi="Times New Roman" w:cs="Times New Roman"/>
          <w:sz w:val="24"/>
          <w:szCs w:val="24"/>
        </w:rPr>
        <w:t xml:space="preserve">Objem </w:t>
      </w:r>
      <w:r w:rsidRPr="00E01556">
        <w:rPr>
          <w:rFonts w:ascii="Times New Roman" w:hAnsi="Times New Roman" w:cs="Times New Roman"/>
          <w:b/>
          <w:sz w:val="24"/>
          <w:szCs w:val="24"/>
        </w:rPr>
        <w:t>odvodů</w:t>
      </w:r>
      <w:r w:rsidRPr="00E01556">
        <w:rPr>
          <w:rFonts w:ascii="Times New Roman" w:hAnsi="Times New Roman" w:cs="Times New Roman"/>
          <w:sz w:val="24"/>
          <w:szCs w:val="24"/>
        </w:rPr>
        <w:t xml:space="preserve"> placených zaměstnavatelem na sociální zabezpečení a státní politiku zaměstnanosti a na zdravotní pojištění je rozpočtován ve výši 33,8 % z objemu mzdových prostředků.</w:t>
      </w:r>
    </w:p>
    <w:p w14:paraId="0BE1637C" w14:textId="77777777" w:rsidR="00E01556" w:rsidRPr="00E01556" w:rsidRDefault="00E01556" w:rsidP="00E01556">
      <w:pPr>
        <w:jc w:val="both"/>
        <w:rPr>
          <w:rFonts w:ascii="Times New Roman" w:hAnsi="Times New Roman" w:cs="Times New Roman"/>
          <w:sz w:val="24"/>
          <w:szCs w:val="24"/>
        </w:rPr>
      </w:pPr>
      <w:r w:rsidRPr="00E01556">
        <w:rPr>
          <w:rFonts w:ascii="Times New Roman" w:hAnsi="Times New Roman" w:cs="Times New Roman"/>
          <w:sz w:val="24"/>
          <w:szCs w:val="24"/>
        </w:rPr>
        <w:lastRenderedPageBreak/>
        <w:t xml:space="preserve">Objem příspěvku na tvorbu </w:t>
      </w:r>
      <w:r w:rsidRPr="00E01556">
        <w:rPr>
          <w:rFonts w:ascii="Times New Roman" w:hAnsi="Times New Roman" w:cs="Times New Roman"/>
          <w:b/>
          <w:sz w:val="24"/>
          <w:szCs w:val="24"/>
        </w:rPr>
        <w:t>FKSP</w:t>
      </w:r>
      <w:r w:rsidRPr="00E01556">
        <w:rPr>
          <w:rFonts w:ascii="Times New Roman" w:hAnsi="Times New Roman" w:cs="Times New Roman"/>
          <w:sz w:val="24"/>
          <w:szCs w:val="24"/>
        </w:rPr>
        <w:t xml:space="preserve"> je v souladu s vyhláškou č. 114/2002 Sb., o FKSP, ve znění pozdějších předpisů, stanoven ve výši 2 % z rozpočtovaného objemu platů.</w:t>
      </w:r>
    </w:p>
    <w:p w14:paraId="60B24524" w14:textId="77777777" w:rsidR="000A7840" w:rsidRDefault="00E01556" w:rsidP="00E04DC5">
      <w:pPr>
        <w:jc w:val="both"/>
        <w:rPr>
          <w:rFonts w:ascii="Times New Roman" w:hAnsi="Times New Roman" w:cs="Times New Roman"/>
          <w:sz w:val="24"/>
          <w:szCs w:val="24"/>
        </w:rPr>
      </w:pPr>
      <w:r w:rsidRPr="00E01556">
        <w:rPr>
          <w:rFonts w:ascii="Times New Roman" w:hAnsi="Times New Roman" w:cs="Times New Roman"/>
          <w:sz w:val="24"/>
          <w:szCs w:val="24"/>
        </w:rPr>
        <w:t xml:space="preserve">Objem finančních prostředků na </w:t>
      </w:r>
      <w:r w:rsidRPr="00E01556">
        <w:rPr>
          <w:rFonts w:ascii="Times New Roman" w:hAnsi="Times New Roman" w:cs="Times New Roman"/>
          <w:b/>
          <w:sz w:val="24"/>
          <w:szCs w:val="24"/>
        </w:rPr>
        <w:t>platy</w:t>
      </w:r>
      <w:r w:rsidRPr="00E01556">
        <w:rPr>
          <w:rFonts w:ascii="Times New Roman" w:hAnsi="Times New Roman" w:cs="Times New Roman"/>
          <w:sz w:val="24"/>
          <w:szCs w:val="24"/>
        </w:rPr>
        <w:t xml:space="preserve"> a finančních prostředků na </w:t>
      </w:r>
      <w:r w:rsidRPr="00E01556">
        <w:rPr>
          <w:rFonts w:ascii="Times New Roman" w:hAnsi="Times New Roman" w:cs="Times New Roman"/>
          <w:b/>
          <w:sz w:val="24"/>
          <w:szCs w:val="24"/>
        </w:rPr>
        <w:t>OON</w:t>
      </w:r>
      <w:r w:rsidRPr="00E01556">
        <w:rPr>
          <w:rFonts w:ascii="Times New Roman" w:hAnsi="Times New Roman" w:cs="Times New Roman"/>
          <w:sz w:val="24"/>
          <w:szCs w:val="24"/>
        </w:rPr>
        <w:t xml:space="preserve"> jsou </w:t>
      </w:r>
      <w:r w:rsidRPr="00E01556">
        <w:rPr>
          <w:rFonts w:ascii="Times New Roman" w:hAnsi="Times New Roman" w:cs="Times New Roman"/>
          <w:b/>
          <w:sz w:val="24"/>
          <w:szCs w:val="24"/>
        </w:rPr>
        <w:t>závazné ukazatele</w:t>
      </w:r>
      <w:r w:rsidRPr="00E01556">
        <w:rPr>
          <w:rFonts w:ascii="Times New Roman" w:hAnsi="Times New Roman" w:cs="Times New Roman"/>
          <w:sz w:val="24"/>
          <w:szCs w:val="24"/>
        </w:rPr>
        <w:t xml:space="preserve">, které nelze překročit, stejně jako přidělené </w:t>
      </w:r>
      <w:r w:rsidRPr="00E01556">
        <w:rPr>
          <w:rFonts w:ascii="Times New Roman" w:hAnsi="Times New Roman" w:cs="Times New Roman"/>
          <w:b/>
          <w:sz w:val="24"/>
          <w:szCs w:val="24"/>
        </w:rPr>
        <w:t>neinvestiční výdaje celkem</w:t>
      </w:r>
      <w:r w:rsidRPr="00E04DC5">
        <w:rPr>
          <w:rFonts w:ascii="Times New Roman" w:hAnsi="Times New Roman" w:cs="Times New Roman"/>
          <w:sz w:val="24"/>
          <w:szCs w:val="24"/>
        </w:rPr>
        <w:t>.</w:t>
      </w:r>
      <w:r w:rsidR="00E04DC5" w:rsidRPr="00697611">
        <w:rPr>
          <w:rFonts w:ascii="Times New Roman" w:hAnsi="Times New Roman" w:cs="Times New Roman"/>
          <w:sz w:val="24"/>
          <w:szCs w:val="24"/>
        </w:rPr>
        <w:t xml:space="preserve"> </w:t>
      </w:r>
      <w:r w:rsidR="00697611" w:rsidRPr="00697611">
        <w:rPr>
          <w:rFonts w:ascii="Times New Roman" w:hAnsi="Times New Roman" w:cs="Times New Roman"/>
          <w:sz w:val="24"/>
          <w:szCs w:val="24"/>
        </w:rPr>
        <w:t xml:space="preserve">Veškeré přesuny mezi ukazateli </w:t>
      </w:r>
      <w:r w:rsidR="006373FD">
        <w:rPr>
          <w:rFonts w:ascii="Times New Roman" w:hAnsi="Times New Roman" w:cs="Times New Roman"/>
          <w:sz w:val="24"/>
          <w:szCs w:val="24"/>
        </w:rPr>
        <w:t xml:space="preserve">platy a OON </w:t>
      </w:r>
      <w:r w:rsidR="00697611" w:rsidRPr="00697611">
        <w:rPr>
          <w:rFonts w:ascii="Times New Roman" w:hAnsi="Times New Roman" w:cs="Times New Roman"/>
          <w:sz w:val="24"/>
          <w:szCs w:val="24"/>
        </w:rPr>
        <w:t>jsou podmíněny souhlasem krajského úřadu.</w:t>
      </w:r>
      <w:r w:rsidR="00697611">
        <w:rPr>
          <w:sz w:val="24"/>
          <w:szCs w:val="24"/>
        </w:rPr>
        <w:t xml:space="preserve"> </w:t>
      </w:r>
      <w:r w:rsidR="00C02517" w:rsidRPr="00E04DC5">
        <w:rPr>
          <w:rFonts w:ascii="Times New Roman" w:hAnsi="Times New Roman" w:cs="Times New Roman"/>
          <w:sz w:val="24"/>
          <w:szCs w:val="24"/>
        </w:rPr>
        <w:t xml:space="preserve">Dalším závazným ukazatelem je </w:t>
      </w:r>
      <w:r w:rsidR="00C02517" w:rsidRPr="00E04DC5">
        <w:rPr>
          <w:rFonts w:ascii="Times New Roman" w:hAnsi="Times New Roman" w:cs="Times New Roman"/>
          <w:b/>
          <w:sz w:val="24"/>
          <w:szCs w:val="24"/>
        </w:rPr>
        <w:t xml:space="preserve">limit počtu </w:t>
      </w:r>
      <w:r w:rsidR="00C02517" w:rsidRPr="007C7062">
        <w:rPr>
          <w:rFonts w:ascii="Times New Roman" w:hAnsi="Times New Roman" w:cs="Times New Roman"/>
          <w:b/>
          <w:sz w:val="24"/>
          <w:szCs w:val="24"/>
        </w:rPr>
        <w:t xml:space="preserve">zaměstnanců. </w:t>
      </w:r>
      <w:r w:rsidR="000A7840" w:rsidRPr="007C7062">
        <w:rPr>
          <w:rFonts w:ascii="Times New Roman" w:hAnsi="Times New Roman" w:cs="Times New Roman"/>
          <w:sz w:val="24"/>
          <w:szCs w:val="24"/>
        </w:rPr>
        <w:t>V případě, že jsou právnické osobě</w:t>
      </w:r>
      <w:r w:rsidR="00D33884">
        <w:rPr>
          <w:rFonts w:ascii="Times New Roman" w:hAnsi="Times New Roman" w:cs="Times New Roman"/>
          <w:sz w:val="24"/>
          <w:szCs w:val="24"/>
        </w:rPr>
        <w:br/>
      </w:r>
      <w:r w:rsidR="000A7840" w:rsidRPr="007C7062">
        <w:rPr>
          <w:rFonts w:ascii="Times New Roman" w:hAnsi="Times New Roman" w:cs="Times New Roman"/>
          <w:sz w:val="24"/>
          <w:szCs w:val="24"/>
        </w:rPr>
        <w:t>z normativně stanovené výše mzdových prostředků vyčleněny finanční prostředky na OON</w:t>
      </w:r>
      <w:r w:rsidR="00D33884">
        <w:rPr>
          <w:rFonts w:ascii="Times New Roman" w:hAnsi="Times New Roman" w:cs="Times New Roman"/>
          <w:sz w:val="24"/>
          <w:szCs w:val="24"/>
        </w:rPr>
        <w:br/>
      </w:r>
      <w:r w:rsidR="000A7840" w:rsidRPr="007C7062">
        <w:rPr>
          <w:rFonts w:ascii="Times New Roman" w:hAnsi="Times New Roman" w:cs="Times New Roman"/>
          <w:sz w:val="24"/>
          <w:szCs w:val="24"/>
        </w:rPr>
        <w:t>(v souladu se Směrnicí Čl. V o</w:t>
      </w:r>
      <w:r w:rsidR="00E91F42" w:rsidRPr="007C7062">
        <w:rPr>
          <w:rFonts w:ascii="Times New Roman" w:hAnsi="Times New Roman" w:cs="Times New Roman"/>
          <w:sz w:val="24"/>
          <w:szCs w:val="24"/>
        </w:rPr>
        <w:t>dst. 4)</w:t>
      </w:r>
      <w:r w:rsidR="000A7840" w:rsidRPr="007C7062">
        <w:rPr>
          <w:rFonts w:ascii="Times New Roman" w:hAnsi="Times New Roman" w:cs="Times New Roman"/>
          <w:sz w:val="24"/>
          <w:szCs w:val="24"/>
        </w:rPr>
        <w:t xml:space="preserve"> ukazatel </w:t>
      </w:r>
      <w:r w:rsidR="00E91F42" w:rsidRPr="007C7062">
        <w:rPr>
          <w:rFonts w:ascii="Times New Roman" w:hAnsi="Times New Roman" w:cs="Times New Roman"/>
          <w:sz w:val="24"/>
          <w:szCs w:val="24"/>
        </w:rPr>
        <w:t xml:space="preserve">limit počtu zaměstnanců </w:t>
      </w:r>
      <w:r w:rsidR="000A7840" w:rsidRPr="007C7062">
        <w:rPr>
          <w:rFonts w:ascii="Times New Roman" w:hAnsi="Times New Roman" w:cs="Times New Roman"/>
          <w:sz w:val="24"/>
          <w:szCs w:val="24"/>
        </w:rPr>
        <w:t xml:space="preserve">se úměrně tomu sníží. </w:t>
      </w:r>
      <w:r w:rsidR="00347970" w:rsidRPr="007C7062">
        <w:rPr>
          <w:rFonts w:ascii="Times New Roman" w:hAnsi="Times New Roman" w:cs="Times New Roman"/>
          <w:sz w:val="24"/>
          <w:szCs w:val="24"/>
        </w:rPr>
        <w:t>Ke snížení limitu počtu zaměstnanců nedojde</w:t>
      </w:r>
      <w:r w:rsidR="000A7840" w:rsidRPr="007C7062">
        <w:rPr>
          <w:rFonts w:ascii="Times New Roman" w:hAnsi="Times New Roman" w:cs="Times New Roman"/>
          <w:sz w:val="24"/>
          <w:szCs w:val="24"/>
        </w:rPr>
        <w:t xml:space="preserve">, pokud jde o vyčlenění OON na zastupování zaměstnanců v pracovním poměru </w:t>
      </w:r>
      <w:r w:rsidR="00E91F42" w:rsidRPr="007C7062">
        <w:rPr>
          <w:rFonts w:ascii="Times New Roman" w:hAnsi="Times New Roman" w:cs="Times New Roman"/>
          <w:sz w:val="24"/>
          <w:szCs w:val="24"/>
        </w:rPr>
        <w:t>k</w:t>
      </w:r>
      <w:r w:rsidR="00347970" w:rsidRPr="007C7062">
        <w:rPr>
          <w:rFonts w:ascii="Times New Roman" w:hAnsi="Times New Roman" w:cs="Times New Roman"/>
          <w:sz w:val="24"/>
          <w:szCs w:val="24"/>
        </w:rPr>
        <w:t xml:space="preserve">e škole či školskému zařízení </w:t>
      </w:r>
      <w:r w:rsidR="00E91F42" w:rsidRPr="007C7062">
        <w:rPr>
          <w:rFonts w:ascii="Times New Roman" w:hAnsi="Times New Roman" w:cs="Times New Roman"/>
          <w:sz w:val="24"/>
          <w:szCs w:val="24"/>
        </w:rPr>
        <w:t>zahrnutých v</w:t>
      </w:r>
      <w:r w:rsidR="00347970" w:rsidRPr="007C7062">
        <w:rPr>
          <w:rFonts w:ascii="Times New Roman" w:hAnsi="Times New Roman" w:cs="Times New Roman"/>
          <w:sz w:val="24"/>
          <w:szCs w:val="24"/>
        </w:rPr>
        <w:t xml:space="preserve"> tomto </w:t>
      </w:r>
      <w:r w:rsidR="00E91F42" w:rsidRPr="007C7062">
        <w:rPr>
          <w:rFonts w:ascii="Times New Roman" w:hAnsi="Times New Roman" w:cs="Times New Roman"/>
          <w:sz w:val="24"/>
          <w:szCs w:val="24"/>
        </w:rPr>
        <w:t>limitu</w:t>
      </w:r>
      <w:r w:rsidR="00D33884">
        <w:rPr>
          <w:rFonts w:ascii="Times New Roman" w:hAnsi="Times New Roman" w:cs="Times New Roman"/>
          <w:sz w:val="24"/>
          <w:szCs w:val="24"/>
        </w:rPr>
        <w:br/>
      </w:r>
      <w:r w:rsidR="000A7840" w:rsidRPr="007C7062">
        <w:rPr>
          <w:rFonts w:ascii="Times New Roman" w:hAnsi="Times New Roman" w:cs="Times New Roman"/>
          <w:sz w:val="24"/>
          <w:szCs w:val="24"/>
        </w:rPr>
        <w:t>po dobu jejich dočasné pracovní neschopnosti nebo karantény.</w:t>
      </w:r>
    </w:p>
    <w:p w14:paraId="32135FA7" w14:textId="77777777" w:rsidR="00E04DC5" w:rsidRPr="00E04DC5" w:rsidRDefault="00E04DC5" w:rsidP="00E04DC5">
      <w:pPr>
        <w:jc w:val="both"/>
        <w:rPr>
          <w:rFonts w:ascii="Times New Roman" w:hAnsi="Times New Roman" w:cs="Times New Roman"/>
          <w:sz w:val="24"/>
          <w:szCs w:val="24"/>
        </w:rPr>
      </w:pPr>
      <w:r w:rsidRPr="00E04DC5">
        <w:rPr>
          <w:rFonts w:ascii="Times New Roman" w:hAnsi="Times New Roman" w:cs="Times New Roman"/>
          <w:sz w:val="24"/>
          <w:szCs w:val="24"/>
        </w:rPr>
        <w:t xml:space="preserve">Ukazatele </w:t>
      </w:r>
      <w:r w:rsidRPr="00E04DC5">
        <w:rPr>
          <w:rFonts w:ascii="Times New Roman" w:hAnsi="Times New Roman" w:cs="Times New Roman"/>
          <w:b/>
          <w:sz w:val="24"/>
          <w:szCs w:val="24"/>
        </w:rPr>
        <w:t>ONIV</w:t>
      </w:r>
      <w:r w:rsidRPr="00E04DC5">
        <w:rPr>
          <w:rFonts w:ascii="Times New Roman" w:hAnsi="Times New Roman" w:cs="Times New Roman"/>
          <w:sz w:val="24"/>
          <w:szCs w:val="24"/>
        </w:rPr>
        <w:t xml:space="preserve">, odvody na </w:t>
      </w:r>
      <w:r w:rsidRPr="00E04DC5">
        <w:rPr>
          <w:rFonts w:ascii="Times New Roman" w:hAnsi="Times New Roman" w:cs="Times New Roman"/>
          <w:b/>
          <w:sz w:val="24"/>
          <w:szCs w:val="24"/>
        </w:rPr>
        <w:t>pojistné</w:t>
      </w:r>
      <w:r w:rsidRPr="00E04DC5">
        <w:rPr>
          <w:rFonts w:ascii="Times New Roman" w:hAnsi="Times New Roman" w:cs="Times New Roman"/>
          <w:sz w:val="24"/>
          <w:szCs w:val="24"/>
        </w:rPr>
        <w:t xml:space="preserve">, odvody do </w:t>
      </w:r>
      <w:r w:rsidRPr="00E04DC5">
        <w:rPr>
          <w:rFonts w:ascii="Times New Roman" w:hAnsi="Times New Roman" w:cs="Times New Roman"/>
          <w:b/>
          <w:sz w:val="24"/>
          <w:szCs w:val="24"/>
        </w:rPr>
        <w:t>FKSP</w:t>
      </w:r>
      <w:r w:rsidRPr="00E04DC5">
        <w:rPr>
          <w:rFonts w:ascii="Times New Roman" w:hAnsi="Times New Roman" w:cs="Times New Roman"/>
          <w:sz w:val="24"/>
          <w:szCs w:val="24"/>
        </w:rPr>
        <w:t xml:space="preserve"> jsou </w:t>
      </w:r>
      <w:r w:rsidR="00927D25" w:rsidRPr="00927D25">
        <w:rPr>
          <w:rFonts w:ascii="Times New Roman" w:hAnsi="Times New Roman" w:cs="Times New Roman"/>
          <w:b/>
          <w:sz w:val="24"/>
          <w:szCs w:val="24"/>
        </w:rPr>
        <w:t>ukazatele</w:t>
      </w:r>
      <w:r w:rsidR="00927D25">
        <w:rPr>
          <w:rFonts w:ascii="Times New Roman" w:hAnsi="Times New Roman" w:cs="Times New Roman"/>
          <w:sz w:val="24"/>
          <w:szCs w:val="24"/>
        </w:rPr>
        <w:t xml:space="preserve"> </w:t>
      </w:r>
      <w:r w:rsidRPr="00E04DC5">
        <w:rPr>
          <w:rFonts w:ascii="Times New Roman" w:hAnsi="Times New Roman" w:cs="Times New Roman"/>
          <w:b/>
          <w:sz w:val="24"/>
          <w:szCs w:val="24"/>
        </w:rPr>
        <w:t>orientační</w:t>
      </w:r>
      <w:r w:rsidRPr="00E04DC5">
        <w:rPr>
          <w:rFonts w:ascii="Times New Roman" w:hAnsi="Times New Roman" w:cs="Times New Roman"/>
          <w:sz w:val="24"/>
          <w:szCs w:val="24"/>
        </w:rPr>
        <w:t>, lze tedy mezi nimi přesouvat volné prostředky bez souhlasu krajského úřadu.</w:t>
      </w:r>
      <w:r w:rsidR="00F77C59">
        <w:rPr>
          <w:rFonts w:ascii="Times New Roman" w:hAnsi="Times New Roman" w:cs="Times New Roman"/>
          <w:sz w:val="24"/>
          <w:szCs w:val="24"/>
        </w:rPr>
        <w:t xml:space="preserve"> </w:t>
      </w:r>
      <w:r w:rsidR="00F77C59" w:rsidRPr="00F77C59">
        <w:rPr>
          <w:rFonts w:ascii="Times New Roman" w:hAnsi="Times New Roman" w:cs="Times New Roman"/>
          <w:sz w:val="24"/>
          <w:szCs w:val="24"/>
        </w:rPr>
        <w:t>Závazný je pouze jejich součet.</w:t>
      </w:r>
    </w:p>
    <w:p w14:paraId="2C4960E3" w14:textId="77777777" w:rsidR="00B008B1" w:rsidRDefault="00B008B1" w:rsidP="00E01556">
      <w:pPr>
        <w:jc w:val="both"/>
        <w:rPr>
          <w:rFonts w:ascii="Times New Roman" w:hAnsi="Times New Roman" w:cs="Times New Roman"/>
          <w:sz w:val="24"/>
          <w:szCs w:val="24"/>
        </w:rPr>
      </w:pPr>
      <w:r w:rsidRPr="000C764C">
        <w:rPr>
          <w:rFonts w:ascii="Times New Roman" w:hAnsi="Times New Roman" w:cs="Times New Roman"/>
          <w:sz w:val="24"/>
          <w:szCs w:val="24"/>
        </w:rPr>
        <w:t xml:space="preserve">Výkony nad rámec kapacity </w:t>
      </w:r>
      <w:r w:rsidR="00346CDC">
        <w:rPr>
          <w:rFonts w:ascii="Times New Roman" w:hAnsi="Times New Roman" w:cs="Times New Roman"/>
          <w:sz w:val="24"/>
          <w:szCs w:val="24"/>
        </w:rPr>
        <w:t xml:space="preserve">uvedené v rejstříku škol a školských zařízení </w:t>
      </w:r>
      <w:r w:rsidRPr="000C764C">
        <w:rPr>
          <w:rFonts w:ascii="Times New Roman" w:hAnsi="Times New Roman" w:cs="Times New Roman"/>
          <w:sz w:val="24"/>
          <w:szCs w:val="24"/>
        </w:rPr>
        <w:t>nemohou být</w:t>
      </w:r>
      <w:r w:rsidR="00D33884">
        <w:rPr>
          <w:rFonts w:ascii="Times New Roman" w:hAnsi="Times New Roman" w:cs="Times New Roman"/>
          <w:sz w:val="24"/>
          <w:szCs w:val="24"/>
        </w:rPr>
        <w:br/>
      </w:r>
      <w:r w:rsidRPr="000C764C">
        <w:rPr>
          <w:rFonts w:ascii="Times New Roman" w:hAnsi="Times New Roman" w:cs="Times New Roman"/>
          <w:sz w:val="24"/>
          <w:szCs w:val="24"/>
        </w:rPr>
        <w:t>v žádném případě financovány</w:t>
      </w:r>
      <w:r w:rsidR="00D67FF6">
        <w:rPr>
          <w:rFonts w:ascii="Times New Roman" w:hAnsi="Times New Roman" w:cs="Times New Roman"/>
          <w:sz w:val="24"/>
          <w:szCs w:val="24"/>
        </w:rPr>
        <w:t>, a to v souladu s § 160 odst. 6 školského zákona</w:t>
      </w:r>
      <w:r w:rsidRPr="000C764C">
        <w:rPr>
          <w:rFonts w:ascii="Times New Roman" w:hAnsi="Times New Roman" w:cs="Times New Roman"/>
          <w:sz w:val="24"/>
          <w:szCs w:val="24"/>
        </w:rPr>
        <w:t>.</w:t>
      </w:r>
      <w:r w:rsidR="00D67FF6">
        <w:rPr>
          <w:rFonts w:ascii="Times New Roman" w:hAnsi="Times New Roman" w:cs="Times New Roman"/>
          <w:sz w:val="24"/>
          <w:szCs w:val="24"/>
        </w:rPr>
        <w:t xml:space="preserve"> </w:t>
      </w:r>
    </w:p>
    <w:p w14:paraId="1616A86D" w14:textId="77777777" w:rsidR="007C7062" w:rsidRPr="007C7062" w:rsidRDefault="007C7062" w:rsidP="007C7062">
      <w:pPr>
        <w:jc w:val="both"/>
        <w:rPr>
          <w:rFonts w:ascii="Times New Roman" w:hAnsi="Times New Roman" w:cs="Times New Roman"/>
          <w:sz w:val="24"/>
          <w:szCs w:val="24"/>
        </w:rPr>
      </w:pPr>
      <w:r w:rsidRPr="007C7062">
        <w:rPr>
          <w:rFonts w:ascii="Times New Roman" w:hAnsi="Times New Roman" w:cs="Times New Roman"/>
          <w:sz w:val="24"/>
          <w:szCs w:val="24"/>
        </w:rPr>
        <w:t xml:space="preserve">Povinností ředitele právnické osoby je pravdivé vykazování výkonů (dětí/žáků/studentů) v souladu s vyhláškou 364/2005 Sb. Dále </w:t>
      </w:r>
      <w:r w:rsidR="00C84F1F">
        <w:rPr>
          <w:rFonts w:ascii="Times New Roman" w:hAnsi="Times New Roman" w:cs="Times New Roman"/>
          <w:sz w:val="24"/>
          <w:szCs w:val="24"/>
        </w:rPr>
        <w:t>zaji</w:t>
      </w:r>
      <w:r w:rsidRPr="007C7062">
        <w:rPr>
          <w:rFonts w:ascii="Times New Roman" w:hAnsi="Times New Roman" w:cs="Times New Roman"/>
          <w:sz w:val="24"/>
          <w:szCs w:val="24"/>
        </w:rPr>
        <w:t xml:space="preserve">štění, aby při přijímání žáků (dětí) nedošlo k překročení rejstříkové kapacity školy, a to zejména s ohledem na přijímání žáků (dětí) vzdělávajících se v individuální výuce. V případě vykazování žáků nad rejstříkovou kapacitu školy může dojít k nesprávně </w:t>
      </w:r>
      <w:proofErr w:type="gramStart"/>
      <w:r w:rsidRPr="007C7062">
        <w:rPr>
          <w:rFonts w:ascii="Times New Roman" w:hAnsi="Times New Roman" w:cs="Times New Roman"/>
          <w:sz w:val="24"/>
          <w:szCs w:val="24"/>
        </w:rPr>
        <w:t xml:space="preserve">stanovenému  </w:t>
      </w:r>
      <w:proofErr w:type="spellStart"/>
      <w:r w:rsidRPr="007C7062">
        <w:rPr>
          <w:rFonts w:ascii="Times New Roman" w:hAnsi="Times New Roman" w:cs="Times New Roman"/>
          <w:sz w:val="24"/>
          <w:szCs w:val="24"/>
        </w:rPr>
        <w:t>PHmax</w:t>
      </w:r>
      <w:proofErr w:type="spellEnd"/>
      <w:proofErr w:type="gramEnd"/>
      <w:r w:rsidRPr="007C7062">
        <w:rPr>
          <w:rFonts w:ascii="Times New Roman" w:hAnsi="Times New Roman" w:cs="Times New Roman"/>
          <w:sz w:val="24"/>
          <w:szCs w:val="24"/>
        </w:rPr>
        <w:t xml:space="preserve"> , v důsledku toho k nesprávně stanovenému rozpočtu a případnému porušení rozpočtové kázně. </w:t>
      </w:r>
    </w:p>
    <w:p w14:paraId="7E482DC4" w14:textId="77777777" w:rsidR="00CA7AEA" w:rsidRPr="000C764C" w:rsidRDefault="00CA7AEA" w:rsidP="00E01556">
      <w:pPr>
        <w:jc w:val="both"/>
        <w:rPr>
          <w:rFonts w:ascii="Times New Roman" w:hAnsi="Times New Roman" w:cs="Times New Roman"/>
          <w:sz w:val="24"/>
          <w:szCs w:val="24"/>
        </w:rPr>
      </w:pPr>
      <w:r>
        <w:rPr>
          <w:rFonts w:ascii="Times New Roman" w:hAnsi="Times New Roman" w:cs="Times New Roman"/>
          <w:sz w:val="24"/>
          <w:szCs w:val="24"/>
        </w:rPr>
        <w:t>Proces tvorby vlastního rozpisu rozpočtu byl rozdělen do několika kroků.</w:t>
      </w:r>
    </w:p>
    <w:p w14:paraId="3210C60B" w14:textId="77777777" w:rsidR="00B008B1" w:rsidRPr="00D144B0" w:rsidRDefault="00476AFA" w:rsidP="00E01556">
      <w:pPr>
        <w:jc w:val="both"/>
        <w:rPr>
          <w:rFonts w:ascii="Times New Roman" w:hAnsi="Times New Roman" w:cs="Times New Roman"/>
          <w:sz w:val="24"/>
          <w:szCs w:val="24"/>
        </w:rPr>
      </w:pPr>
      <w:r w:rsidRPr="00D144B0">
        <w:rPr>
          <w:rFonts w:ascii="Times New Roman" w:hAnsi="Times New Roman" w:cs="Times New Roman"/>
          <w:b/>
          <w:sz w:val="24"/>
          <w:szCs w:val="24"/>
        </w:rPr>
        <w:t>První krokem</w:t>
      </w:r>
      <w:r w:rsidRPr="00D144B0">
        <w:rPr>
          <w:rFonts w:ascii="Times New Roman" w:hAnsi="Times New Roman" w:cs="Times New Roman"/>
          <w:sz w:val="24"/>
          <w:szCs w:val="24"/>
        </w:rPr>
        <w:t xml:space="preserve"> byl stanoven r</w:t>
      </w:r>
      <w:r w:rsidR="000C764C" w:rsidRPr="00D144B0">
        <w:rPr>
          <w:rFonts w:ascii="Times New Roman" w:hAnsi="Times New Roman" w:cs="Times New Roman"/>
          <w:sz w:val="24"/>
          <w:szCs w:val="24"/>
        </w:rPr>
        <w:t>ozpis rozpočtu přímých NIV pro rok 202</w:t>
      </w:r>
      <w:r w:rsidR="0089382C">
        <w:rPr>
          <w:rFonts w:ascii="Times New Roman" w:hAnsi="Times New Roman" w:cs="Times New Roman"/>
          <w:sz w:val="24"/>
          <w:szCs w:val="24"/>
        </w:rPr>
        <w:t>1</w:t>
      </w:r>
      <w:r w:rsidR="000C764C" w:rsidRPr="00D144B0">
        <w:rPr>
          <w:rFonts w:ascii="Times New Roman" w:hAnsi="Times New Roman" w:cs="Times New Roman"/>
          <w:sz w:val="24"/>
          <w:szCs w:val="24"/>
        </w:rPr>
        <w:t xml:space="preserve"> </w:t>
      </w:r>
      <w:r w:rsidR="008C3EA1">
        <w:rPr>
          <w:rFonts w:ascii="Times New Roman" w:hAnsi="Times New Roman" w:cs="Times New Roman"/>
          <w:sz w:val="24"/>
          <w:szCs w:val="24"/>
        </w:rPr>
        <w:t xml:space="preserve">zahrnující </w:t>
      </w:r>
      <w:r w:rsidR="000C764C" w:rsidRPr="00D144B0">
        <w:rPr>
          <w:rFonts w:ascii="Times New Roman" w:hAnsi="Times New Roman" w:cs="Times New Roman"/>
          <w:sz w:val="24"/>
          <w:szCs w:val="24"/>
        </w:rPr>
        <w:t>část stanovenou MŠMT a část stanov</w:t>
      </w:r>
      <w:r w:rsidR="00F567D2">
        <w:rPr>
          <w:rFonts w:ascii="Times New Roman" w:hAnsi="Times New Roman" w:cs="Times New Roman"/>
          <w:sz w:val="24"/>
          <w:szCs w:val="24"/>
        </w:rPr>
        <w:t>en</w:t>
      </w:r>
      <w:r w:rsidR="000C764C" w:rsidRPr="00D144B0">
        <w:rPr>
          <w:rFonts w:ascii="Times New Roman" w:hAnsi="Times New Roman" w:cs="Times New Roman"/>
          <w:sz w:val="24"/>
          <w:szCs w:val="24"/>
        </w:rPr>
        <w:t xml:space="preserve">ou krajským úřadem na základě krajských normativů. </w:t>
      </w:r>
    </w:p>
    <w:p w14:paraId="488A67FE" w14:textId="77777777" w:rsidR="008606EB" w:rsidRDefault="00476AFA" w:rsidP="00E01556">
      <w:pPr>
        <w:jc w:val="both"/>
        <w:rPr>
          <w:rFonts w:ascii="Times New Roman" w:hAnsi="Times New Roman" w:cs="Times New Roman"/>
          <w:sz w:val="24"/>
          <w:szCs w:val="24"/>
        </w:rPr>
      </w:pPr>
      <w:r w:rsidRPr="00D144B0">
        <w:rPr>
          <w:rFonts w:ascii="Times New Roman" w:hAnsi="Times New Roman" w:cs="Times New Roman"/>
          <w:b/>
          <w:sz w:val="24"/>
          <w:szCs w:val="24"/>
        </w:rPr>
        <w:t>Ve druhém kroku</w:t>
      </w:r>
      <w:r>
        <w:rPr>
          <w:rFonts w:ascii="Times New Roman" w:hAnsi="Times New Roman" w:cs="Times New Roman"/>
          <w:sz w:val="24"/>
          <w:szCs w:val="24"/>
        </w:rPr>
        <w:t xml:space="preserve"> byly </w:t>
      </w:r>
      <w:r w:rsidR="00750896">
        <w:rPr>
          <w:rFonts w:ascii="Times New Roman" w:hAnsi="Times New Roman" w:cs="Times New Roman"/>
          <w:sz w:val="24"/>
          <w:szCs w:val="24"/>
        </w:rPr>
        <w:t xml:space="preserve">v souladu se </w:t>
      </w:r>
      <w:r w:rsidR="00963A49">
        <w:rPr>
          <w:rFonts w:ascii="Times New Roman" w:hAnsi="Times New Roman" w:cs="Times New Roman"/>
          <w:sz w:val="24"/>
          <w:szCs w:val="24"/>
        </w:rPr>
        <w:t>s</w:t>
      </w:r>
      <w:r w:rsidR="00963A49" w:rsidRPr="00963A49">
        <w:rPr>
          <w:rFonts w:ascii="Times New Roman" w:hAnsi="Times New Roman" w:cs="Times New Roman"/>
          <w:sz w:val="24"/>
          <w:szCs w:val="24"/>
        </w:rPr>
        <w:t>měrnic</w:t>
      </w:r>
      <w:r w:rsidR="00963A49">
        <w:rPr>
          <w:rFonts w:ascii="Times New Roman" w:hAnsi="Times New Roman" w:cs="Times New Roman"/>
          <w:sz w:val="24"/>
          <w:szCs w:val="24"/>
        </w:rPr>
        <w:t>í MŠMT</w:t>
      </w:r>
      <w:r w:rsidR="00963A49" w:rsidRPr="00963A49">
        <w:rPr>
          <w:rFonts w:ascii="Times New Roman" w:hAnsi="Times New Roman" w:cs="Times New Roman"/>
          <w:sz w:val="24"/>
          <w:szCs w:val="24"/>
        </w:rPr>
        <w:t xml:space="preserve"> č.j. MSMT-14281/2018 o závazných </w:t>
      </w:r>
      <w:proofErr w:type="gramStart"/>
      <w:r w:rsidR="00963A49" w:rsidRPr="00963A49">
        <w:rPr>
          <w:rFonts w:ascii="Times New Roman" w:hAnsi="Times New Roman" w:cs="Times New Roman"/>
          <w:sz w:val="24"/>
          <w:szCs w:val="24"/>
        </w:rPr>
        <w:t>zásadách  pro</w:t>
      </w:r>
      <w:proofErr w:type="gramEnd"/>
      <w:r w:rsidR="00963A49" w:rsidRPr="00963A49">
        <w:rPr>
          <w:rFonts w:ascii="Times New Roman" w:hAnsi="Times New Roman" w:cs="Times New Roman"/>
          <w:sz w:val="24"/>
          <w:szCs w:val="24"/>
        </w:rPr>
        <w:t xml:space="preserve"> rozpisy a návrhy rozpisů finančních prostředků státního rozpočtu krajskými úřady a obecními úřady obcí s rozšířenou působností ve znění směrnice č.j. MSMT-32965-2019 </w:t>
      </w:r>
      <w:r w:rsidR="00E14F9F" w:rsidRPr="00E14F9F">
        <w:rPr>
          <w:rFonts w:ascii="Times New Roman" w:hAnsi="Times New Roman" w:cs="Times New Roman"/>
          <w:sz w:val="24"/>
          <w:szCs w:val="24"/>
        </w:rPr>
        <w:t>a č.j. MSMT-38045/2020,</w:t>
      </w:r>
      <w:r w:rsidR="00E14F9F" w:rsidRPr="00D66C85">
        <w:t xml:space="preserve"> </w:t>
      </w:r>
      <w:r w:rsidR="00963A49" w:rsidRPr="00963A49">
        <w:rPr>
          <w:rFonts w:ascii="Times New Roman" w:hAnsi="Times New Roman" w:cs="Times New Roman"/>
          <w:sz w:val="24"/>
          <w:szCs w:val="24"/>
        </w:rPr>
        <w:t>(dále Směrnice)</w:t>
      </w:r>
      <w:r w:rsidR="00B30B97">
        <w:rPr>
          <w:rFonts w:ascii="Times New Roman" w:hAnsi="Times New Roman" w:cs="Times New Roman"/>
          <w:sz w:val="24"/>
          <w:szCs w:val="24"/>
        </w:rPr>
        <w:t xml:space="preserve"> </w:t>
      </w:r>
      <w:r>
        <w:rPr>
          <w:rFonts w:ascii="Times New Roman" w:hAnsi="Times New Roman" w:cs="Times New Roman"/>
          <w:sz w:val="24"/>
          <w:szCs w:val="24"/>
        </w:rPr>
        <w:t>k</w:t>
      </w:r>
      <w:r w:rsidR="007A0180" w:rsidRPr="007A0180">
        <w:rPr>
          <w:rFonts w:ascii="Times New Roman" w:hAnsi="Times New Roman" w:cs="Times New Roman"/>
          <w:sz w:val="24"/>
          <w:szCs w:val="24"/>
        </w:rPr>
        <w:t xml:space="preserve"> normativnímu rozpisu rozpočtu provedeny </w:t>
      </w:r>
      <w:r w:rsidR="004D31E8">
        <w:rPr>
          <w:rFonts w:ascii="Times New Roman" w:hAnsi="Times New Roman" w:cs="Times New Roman"/>
          <w:sz w:val="24"/>
          <w:szCs w:val="24"/>
        </w:rPr>
        <w:t xml:space="preserve">na vrub rezervy </w:t>
      </w:r>
      <w:r w:rsidR="007A0180" w:rsidRPr="007A0180">
        <w:rPr>
          <w:rFonts w:ascii="Times New Roman" w:hAnsi="Times New Roman" w:cs="Times New Roman"/>
          <w:b/>
          <w:sz w:val="24"/>
          <w:szCs w:val="24"/>
        </w:rPr>
        <w:t>změny</w:t>
      </w:r>
      <w:r w:rsidR="007A0180" w:rsidRPr="007A0180">
        <w:rPr>
          <w:rFonts w:ascii="Times New Roman" w:hAnsi="Times New Roman" w:cs="Times New Roman"/>
          <w:sz w:val="24"/>
          <w:szCs w:val="24"/>
        </w:rPr>
        <w:t xml:space="preserve"> </w:t>
      </w:r>
      <w:r w:rsidR="00750896">
        <w:rPr>
          <w:rFonts w:ascii="Times New Roman" w:hAnsi="Times New Roman" w:cs="Times New Roman"/>
          <w:sz w:val="24"/>
          <w:szCs w:val="24"/>
        </w:rPr>
        <w:t>zohledňující následující skutečnosti</w:t>
      </w:r>
      <w:r w:rsidR="007A0180" w:rsidRPr="007A0180">
        <w:rPr>
          <w:rFonts w:ascii="Times New Roman" w:hAnsi="Times New Roman" w:cs="Times New Roman"/>
          <w:sz w:val="24"/>
          <w:szCs w:val="24"/>
        </w:rPr>
        <w:t>:</w:t>
      </w:r>
    </w:p>
    <w:p w14:paraId="00C44681" w14:textId="77777777" w:rsidR="0020752A" w:rsidRDefault="0020752A" w:rsidP="00750896">
      <w:pPr>
        <w:pStyle w:val="Seznamsodrkami"/>
      </w:pPr>
      <w:r>
        <w:t xml:space="preserve">vzešlé ze zjištěných významných rozdílů definovaných v čl. II Směrnice při procesu přípravy rozpisu přímých výdajů, </w:t>
      </w:r>
    </w:p>
    <w:p w14:paraId="04D1846E" w14:textId="77777777" w:rsidR="00963A49" w:rsidRDefault="0020752A" w:rsidP="00750896">
      <w:pPr>
        <w:pStyle w:val="Seznamsodrkami"/>
      </w:pPr>
      <w:r>
        <w:t xml:space="preserve">poskytování kurzu základního vzdělávání,  </w:t>
      </w:r>
    </w:p>
    <w:p w14:paraId="74D220F6" w14:textId="77777777" w:rsidR="00750896" w:rsidRDefault="00750896" w:rsidP="00750896">
      <w:pPr>
        <w:pStyle w:val="Seznamsodrkami"/>
      </w:pPr>
      <w:r w:rsidRPr="009F48E6">
        <w:t>přesun z ONIV do platů,</w:t>
      </w:r>
      <w:r>
        <w:t xml:space="preserve"> a </w:t>
      </w:r>
      <w:proofErr w:type="gramStart"/>
      <w:r>
        <w:t>to</w:t>
      </w:r>
      <w:proofErr w:type="gramEnd"/>
      <w:r w:rsidRPr="009F48E6">
        <w:t xml:space="preserve"> pokud škola realizuje rámcový vzdělávací program, jehož součástí je příprava k získání řidičského nebo svářečského oprávnění, jejíž praktickou část škola zajišťuje vlastními zaměstnanci a vykázala rozsah dotčené činnosti</w:t>
      </w:r>
      <w:r w:rsidR="00D33884">
        <w:br/>
      </w:r>
      <w:r w:rsidRPr="009F48E6">
        <w:t>v příslušném oddílu výkazu P1c-01</w:t>
      </w:r>
      <w:r>
        <w:t xml:space="preserve"> ke dni 30. 9. 20</w:t>
      </w:r>
      <w:r w:rsidR="0089382C">
        <w:t>20</w:t>
      </w:r>
      <w:r w:rsidRPr="009F48E6">
        <w:t>,</w:t>
      </w:r>
    </w:p>
    <w:p w14:paraId="3C478120" w14:textId="77777777" w:rsidR="00750896" w:rsidRDefault="00750896" w:rsidP="00750896">
      <w:pPr>
        <w:pStyle w:val="Seznamsodrkami"/>
      </w:pPr>
      <w:r w:rsidRPr="009F48E6">
        <w:t>zvýšení prostředků na ostatní osobní náklady (OON)</w:t>
      </w:r>
      <w:r>
        <w:t xml:space="preserve">, a to </w:t>
      </w:r>
      <w:r w:rsidRPr="009F48E6">
        <w:t>max</w:t>
      </w:r>
      <w:r>
        <w:t>imálně</w:t>
      </w:r>
      <w:r w:rsidRPr="009F48E6">
        <w:t xml:space="preserve"> do výše </w:t>
      </w:r>
      <w:proofErr w:type="spellStart"/>
      <w:r w:rsidRPr="009F48E6">
        <w:t>PHmax</w:t>
      </w:r>
      <w:proofErr w:type="spellEnd"/>
      <w:r w:rsidRPr="009F48E6">
        <w:t xml:space="preserve"> nebo </w:t>
      </w:r>
      <w:proofErr w:type="spellStart"/>
      <w:r w:rsidRPr="009F48E6">
        <w:t>PHAmax</w:t>
      </w:r>
      <w:proofErr w:type="spellEnd"/>
      <w:r w:rsidRPr="009F48E6">
        <w:t>, pokud je povinný rozsah vzdělávání trvale zajišťovaný pedagogickými pracovníky na základě dohod o pracích konaných mimo pracovní poměr, pokud bylo vykázáno v P1c-01, oddíl VIII</w:t>
      </w:r>
      <w:r>
        <w:t xml:space="preserve"> ke dni 30. 9. 20</w:t>
      </w:r>
      <w:r w:rsidR="00541678">
        <w:t>20</w:t>
      </w:r>
      <w:r w:rsidRPr="009F48E6">
        <w:t>,</w:t>
      </w:r>
    </w:p>
    <w:p w14:paraId="1E3177AD" w14:textId="77777777" w:rsidR="00750896" w:rsidRDefault="00750896" w:rsidP="00750896">
      <w:pPr>
        <w:pStyle w:val="Seznamsodrkami"/>
      </w:pPr>
      <w:r w:rsidRPr="000721D3">
        <w:lastRenderedPageBreak/>
        <w:t>vzdělávání dětí s hlubokým mentálním postižením, pokud škola v souladu s rozhodnutím krajského úřadu podle § 42 školského zákona zajišťuje vzdělávání dítěte s</w:t>
      </w:r>
      <w:r>
        <w:t xml:space="preserve"> hlubokým mentálním postižením, jedná se o dítě, které není žákem školy, </w:t>
      </w:r>
      <w:r w:rsidR="004D31E8">
        <w:t>(tyto úvazky nejsou vykázány ve výkazu P1c-01)</w:t>
      </w:r>
    </w:p>
    <w:p w14:paraId="6AC8F386" w14:textId="77777777" w:rsidR="00963A49" w:rsidRDefault="008B5D57" w:rsidP="008B5D57">
      <w:pPr>
        <w:pStyle w:val="Seznamsodrkami"/>
      </w:pPr>
      <w:r w:rsidRPr="008B5D57">
        <w:t>finanční prostředky na podpůrná opatření vykázaná v roce 20</w:t>
      </w:r>
      <w:r w:rsidR="00541678">
        <w:t>20</w:t>
      </w:r>
      <w:r w:rsidRPr="008B5D57">
        <w:t xml:space="preserve"> jednotlivými krajskými a obecními školami a školskými zařízeními v kraji, a to ve výkazu R 43-01 a dále pak</w:t>
      </w:r>
      <w:r w:rsidR="00D33884">
        <w:br/>
      </w:r>
      <w:r w:rsidRPr="008B5D57">
        <w:t>ve výkazu R 44-99 za měsíce září až prosinec 20</w:t>
      </w:r>
      <w:r w:rsidR="00541678">
        <w:t>20</w:t>
      </w:r>
      <w:r w:rsidRPr="008B5D57">
        <w:t xml:space="preserve">, která tedy </w:t>
      </w:r>
      <w:r>
        <w:t>budou realizována i v roce 202</w:t>
      </w:r>
      <w:r w:rsidR="004E1592">
        <w:t>1</w:t>
      </w:r>
      <w:r>
        <w:t xml:space="preserve"> a </w:t>
      </w:r>
      <w:r w:rsidR="00AF6B9C">
        <w:t xml:space="preserve">z agregace </w:t>
      </w:r>
      <w:r>
        <w:t xml:space="preserve">za měsíce </w:t>
      </w:r>
      <w:r w:rsidRPr="00AF6B9C">
        <w:t>leden</w:t>
      </w:r>
      <w:r w:rsidR="004E1592">
        <w:t>,</w:t>
      </w:r>
      <w:r w:rsidRPr="00AF6B9C">
        <w:t xml:space="preserve"> únor</w:t>
      </w:r>
      <w:r w:rsidR="004E1592">
        <w:t xml:space="preserve"> a </w:t>
      </w:r>
      <w:r w:rsidR="004E1592" w:rsidRPr="00C313D3">
        <w:t>březen</w:t>
      </w:r>
      <w:r w:rsidRPr="00AF6B9C">
        <w:t xml:space="preserve"> 202</w:t>
      </w:r>
      <w:r w:rsidR="004E1592">
        <w:t>1</w:t>
      </w:r>
      <w:r w:rsidR="003A63ED">
        <w:t>,</w:t>
      </w:r>
    </w:p>
    <w:p w14:paraId="3A33470D" w14:textId="77777777" w:rsidR="003A63ED" w:rsidRDefault="003A63ED" w:rsidP="003A63ED">
      <w:pPr>
        <w:pStyle w:val="Seznamsodrkami"/>
      </w:pPr>
      <w:r w:rsidRPr="003A63ED">
        <w:t>navýšení limitu počtu pracovníků a prostředků na platy</w:t>
      </w:r>
      <w:r>
        <w:t xml:space="preserve"> </w:t>
      </w:r>
      <w:r w:rsidRPr="003A63ED">
        <w:t>u samostatných školních jídelen</w:t>
      </w:r>
      <w:r>
        <w:t xml:space="preserve"> (z</w:t>
      </w:r>
      <w:r w:rsidRPr="003A63ED">
        <w:t xml:space="preserve">a základnu je považováno 650 žáků strávníků, ke kterým se váže příděl 1,5 limitu počtu úvazku a odpovídající finančních </w:t>
      </w:r>
      <w:proofErr w:type="gramStart"/>
      <w:r w:rsidRPr="003A63ED">
        <w:t xml:space="preserve">prostředky </w:t>
      </w:r>
      <w:r>
        <w:t xml:space="preserve">- </w:t>
      </w:r>
      <w:r w:rsidRPr="003A63ED">
        <w:t>dle</w:t>
      </w:r>
      <w:proofErr w:type="gramEnd"/>
      <w:r w:rsidRPr="003A63ED">
        <w:t xml:space="preserve"> rozpočtovaného platu pro ŠJ).</w:t>
      </w:r>
    </w:p>
    <w:p w14:paraId="5C39A2CD" w14:textId="77777777" w:rsidR="00963A49" w:rsidRDefault="00963A49" w:rsidP="00963A49">
      <w:pPr>
        <w:pStyle w:val="Seznamsodrkami"/>
        <w:numPr>
          <w:ilvl w:val="0"/>
          <w:numId w:val="0"/>
        </w:numPr>
        <w:ind w:left="568" w:hanging="284"/>
      </w:pPr>
    </w:p>
    <w:p w14:paraId="2A276D96" w14:textId="77777777" w:rsidR="00ED2D9B" w:rsidRDefault="006B3D99" w:rsidP="00ED2D9B">
      <w:pPr>
        <w:jc w:val="both"/>
        <w:rPr>
          <w:rFonts w:ascii="Times New Roman" w:hAnsi="Times New Roman" w:cs="Times New Roman"/>
          <w:sz w:val="24"/>
          <w:szCs w:val="24"/>
        </w:rPr>
      </w:pPr>
      <w:r w:rsidRPr="00126E70">
        <w:rPr>
          <w:rFonts w:ascii="Times New Roman" w:hAnsi="Times New Roman" w:cs="Times New Roman"/>
          <w:b/>
          <w:sz w:val="24"/>
          <w:szCs w:val="24"/>
        </w:rPr>
        <w:t>Následně byl</w:t>
      </w:r>
      <w:r w:rsidR="00DD2D89" w:rsidRPr="00126E70">
        <w:rPr>
          <w:rFonts w:ascii="Times New Roman" w:hAnsi="Times New Roman" w:cs="Times New Roman"/>
          <w:sz w:val="24"/>
          <w:szCs w:val="24"/>
        </w:rPr>
        <w:t xml:space="preserve"> stanoven</w:t>
      </w:r>
      <w:r w:rsidR="00476AFA" w:rsidRPr="00126E70">
        <w:rPr>
          <w:rFonts w:ascii="Times New Roman" w:hAnsi="Times New Roman" w:cs="Times New Roman"/>
          <w:sz w:val="24"/>
          <w:szCs w:val="24"/>
        </w:rPr>
        <w:t xml:space="preserve"> </w:t>
      </w:r>
      <w:r w:rsidR="00626014" w:rsidRPr="00126E70">
        <w:rPr>
          <w:rFonts w:ascii="Times New Roman" w:hAnsi="Times New Roman" w:cs="Times New Roman"/>
          <w:sz w:val="24"/>
          <w:szCs w:val="24"/>
        </w:rPr>
        <w:t xml:space="preserve">každé právnické osobě </w:t>
      </w:r>
      <w:r w:rsidR="00476AFA" w:rsidRPr="00126E70">
        <w:rPr>
          <w:rFonts w:ascii="Times New Roman" w:hAnsi="Times New Roman" w:cs="Times New Roman"/>
          <w:b/>
          <w:sz w:val="24"/>
          <w:szCs w:val="24"/>
        </w:rPr>
        <w:t>závazný rozpočet</w:t>
      </w:r>
      <w:r w:rsidR="002A2F61" w:rsidRPr="00126E70">
        <w:rPr>
          <w:rFonts w:ascii="Times New Roman" w:hAnsi="Times New Roman" w:cs="Times New Roman"/>
          <w:sz w:val="24"/>
          <w:szCs w:val="24"/>
        </w:rPr>
        <w:t xml:space="preserve"> zveřejněný </w:t>
      </w:r>
      <w:r w:rsidR="002A2F61" w:rsidRPr="00126E70">
        <w:rPr>
          <w:rFonts w:ascii="Times New Roman" w:hAnsi="Times New Roman" w:cs="Times New Roman"/>
          <w:b/>
          <w:sz w:val="24"/>
          <w:szCs w:val="24"/>
        </w:rPr>
        <w:t>k</w:t>
      </w:r>
      <w:r w:rsidR="00DD2D89" w:rsidRPr="00126E70">
        <w:rPr>
          <w:rFonts w:ascii="Times New Roman" w:hAnsi="Times New Roman" w:cs="Times New Roman"/>
          <w:b/>
          <w:sz w:val="24"/>
          <w:szCs w:val="24"/>
        </w:rPr>
        <w:t xml:space="preserve">e dni </w:t>
      </w:r>
      <w:r w:rsidR="00DB0B60" w:rsidRPr="00126E70">
        <w:rPr>
          <w:rFonts w:ascii="Times New Roman" w:hAnsi="Times New Roman" w:cs="Times New Roman"/>
          <w:b/>
          <w:sz w:val="24"/>
          <w:szCs w:val="24"/>
        </w:rPr>
        <w:t>8</w:t>
      </w:r>
      <w:r w:rsidR="0026154B" w:rsidRPr="00126E70">
        <w:rPr>
          <w:rFonts w:ascii="Times New Roman" w:hAnsi="Times New Roman" w:cs="Times New Roman"/>
          <w:b/>
          <w:sz w:val="24"/>
          <w:szCs w:val="24"/>
        </w:rPr>
        <w:t>. březn</w:t>
      </w:r>
      <w:r w:rsidR="00626014" w:rsidRPr="00126E70">
        <w:rPr>
          <w:rFonts w:ascii="Times New Roman" w:hAnsi="Times New Roman" w:cs="Times New Roman"/>
          <w:b/>
          <w:sz w:val="24"/>
          <w:szCs w:val="24"/>
        </w:rPr>
        <w:t>a</w:t>
      </w:r>
      <w:r w:rsidR="0026154B" w:rsidRPr="00126E70">
        <w:rPr>
          <w:rFonts w:ascii="Times New Roman" w:hAnsi="Times New Roman" w:cs="Times New Roman"/>
          <w:b/>
          <w:sz w:val="24"/>
          <w:szCs w:val="24"/>
        </w:rPr>
        <w:t xml:space="preserve"> 202</w:t>
      </w:r>
      <w:r w:rsidR="00DB0B60" w:rsidRPr="00126E70">
        <w:rPr>
          <w:rFonts w:ascii="Times New Roman" w:hAnsi="Times New Roman" w:cs="Times New Roman"/>
          <w:b/>
          <w:sz w:val="24"/>
          <w:szCs w:val="24"/>
        </w:rPr>
        <w:t>1</w:t>
      </w:r>
      <w:r w:rsidR="0026154B" w:rsidRPr="00126E70">
        <w:rPr>
          <w:rFonts w:ascii="Times New Roman" w:hAnsi="Times New Roman" w:cs="Times New Roman"/>
          <w:sz w:val="24"/>
          <w:szCs w:val="24"/>
        </w:rPr>
        <w:t>.</w:t>
      </w:r>
      <w:r w:rsidR="0026154B" w:rsidRPr="0026154B">
        <w:rPr>
          <w:rFonts w:ascii="Times New Roman" w:hAnsi="Times New Roman" w:cs="Times New Roman"/>
          <w:sz w:val="24"/>
          <w:szCs w:val="24"/>
        </w:rPr>
        <w:t xml:space="preserve"> Jedná </w:t>
      </w:r>
      <w:r w:rsidR="0060672B">
        <w:rPr>
          <w:rFonts w:ascii="Times New Roman" w:hAnsi="Times New Roman" w:cs="Times New Roman"/>
          <w:sz w:val="24"/>
          <w:szCs w:val="24"/>
        </w:rPr>
        <w:t xml:space="preserve">se </w:t>
      </w:r>
      <w:r w:rsidR="0026154B" w:rsidRPr="0026154B">
        <w:rPr>
          <w:rFonts w:ascii="Times New Roman" w:hAnsi="Times New Roman" w:cs="Times New Roman"/>
          <w:sz w:val="24"/>
          <w:szCs w:val="24"/>
        </w:rPr>
        <w:t>o jeden rozpočet, prostřednictvím kterého jsou každé právnické osobě stanoveny objemy finančních prostředků ve struktuře závazných (NIV celkem, platy, OON, limit počtu zaměstnanců, limit počtu asistentů pedagoga dle součásti) a orientačních ukazatelů (pojistné, FKSP, ONIV).</w:t>
      </w:r>
      <w:r w:rsidR="00126E70">
        <w:rPr>
          <w:rFonts w:ascii="Times New Roman" w:hAnsi="Times New Roman" w:cs="Times New Roman"/>
          <w:sz w:val="24"/>
          <w:szCs w:val="24"/>
        </w:rPr>
        <w:t xml:space="preserve"> </w:t>
      </w:r>
      <w:r w:rsidR="00ED2D9B">
        <w:rPr>
          <w:rFonts w:ascii="Times New Roman" w:hAnsi="Times New Roman" w:cs="Times New Roman"/>
          <w:sz w:val="24"/>
          <w:szCs w:val="24"/>
        </w:rPr>
        <w:t xml:space="preserve">Přestože jsou prostředky na </w:t>
      </w:r>
      <w:r w:rsidR="00ED2D9B" w:rsidRPr="00ED2D9B">
        <w:rPr>
          <w:rFonts w:ascii="Times New Roman" w:hAnsi="Times New Roman" w:cs="Times New Roman"/>
          <w:sz w:val="24"/>
          <w:szCs w:val="24"/>
        </w:rPr>
        <w:t>platy a ostatní neinvestiční výdaje vč. limitu počtu zaměstnanců</w:t>
      </w:r>
      <w:r w:rsidR="00ED2D9B">
        <w:rPr>
          <w:rFonts w:ascii="Times New Roman" w:hAnsi="Times New Roman" w:cs="Times New Roman"/>
          <w:sz w:val="24"/>
          <w:szCs w:val="24"/>
        </w:rPr>
        <w:t xml:space="preserve"> členěny podle součástí školy nebo</w:t>
      </w:r>
      <w:r w:rsidR="00ED2D9B" w:rsidRPr="00ED2D9B">
        <w:rPr>
          <w:rFonts w:ascii="Times New Roman" w:hAnsi="Times New Roman" w:cs="Times New Roman"/>
          <w:sz w:val="24"/>
          <w:szCs w:val="24"/>
        </w:rPr>
        <w:t xml:space="preserve"> školského zařízení</w:t>
      </w:r>
      <w:r w:rsidR="00ED2D9B">
        <w:rPr>
          <w:rFonts w:ascii="Times New Roman" w:hAnsi="Times New Roman" w:cs="Times New Roman"/>
          <w:sz w:val="24"/>
          <w:szCs w:val="24"/>
        </w:rPr>
        <w:t xml:space="preserve">, závazná je pro školu či školské zařízení celková souhrnná částka v členění jednotlivých ukazatelů. </w:t>
      </w:r>
    </w:p>
    <w:p w14:paraId="45A3E889" w14:textId="77777777" w:rsidR="004936F8" w:rsidRDefault="004936F8" w:rsidP="000F4F74">
      <w:pPr>
        <w:tabs>
          <w:tab w:val="left" w:pos="851"/>
        </w:tabs>
        <w:spacing w:after="120"/>
        <w:jc w:val="both"/>
        <w:rPr>
          <w:rFonts w:ascii="Times New Roman" w:hAnsi="Times New Roman" w:cs="Times New Roman"/>
          <w:spacing w:val="-2"/>
          <w:sz w:val="24"/>
          <w:u w:val="single"/>
        </w:rPr>
      </w:pPr>
    </w:p>
    <w:p w14:paraId="3C1CAFD4" w14:textId="77777777" w:rsidR="00D33884" w:rsidRDefault="00D33884" w:rsidP="000F4F74">
      <w:pPr>
        <w:tabs>
          <w:tab w:val="left" w:pos="851"/>
        </w:tabs>
        <w:spacing w:after="120"/>
        <w:jc w:val="both"/>
        <w:rPr>
          <w:rFonts w:ascii="Times New Roman" w:hAnsi="Times New Roman" w:cs="Times New Roman"/>
          <w:spacing w:val="-2"/>
          <w:sz w:val="24"/>
          <w:u w:val="single"/>
        </w:rPr>
      </w:pPr>
    </w:p>
    <w:p w14:paraId="33922C9C" w14:textId="77777777" w:rsidR="00C94A74" w:rsidRPr="004B4740" w:rsidRDefault="00C94A74" w:rsidP="000F4F74">
      <w:pPr>
        <w:tabs>
          <w:tab w:val="left" w:pos="851"/>
        </w:tabs>
        <w:spacing w:after="120"/>
        <w:jc w:val="both"/>
        <w:rPr>
          <w:rFonts w:ascii="Times New Roman" w:hAnsi="Times New Roman" w:cs="Times New Roman"/>
          <w:spacing w:val="-2"/>
          <w:sz w:val="24"/>
          <w:u w:val="single"/>
        </w:rPr>
      </w:pPr>
      <w:r w:rsidRPr="004B4740">
        <w:rPr>
          <w:rFonts w:ascii="Times New Roman" w:hAnsi="Times New Roman" w:cs="Times New Roman"/>
          <w:spacing w:val="-2"/>
          <w:sz w:val="24"/>
          <w:u w:val="single"/>
        </w:rPr>
        <w:t>Podpůrné opatření pedagogická intervence</w:t>
      </w:r>
    </w:p>
    <w:p w14:paraId="09C63949" w14:textId="77777777" w:rsidR="000D7B34" w:rsidRDefault="000D7B34" w:rsidP="00734202">
      <w:pPr>
        <w:tabs>
          <w:tab w:val="left" w:pos="851"/>
        </w:tabs>
        <w:spacing w:after="120"/>
        <w:jc w:val="both"/>
        <w:rPr>
          <w:rFonts w:ascii="Times New Roman" w:hAnsi="Times New Roman" w:cs="Times New Roman"/>
          <w:sz w:val="24"/>
        </w:rPr>
      </w:pPr>
      <w:r w:rsidRPr="000D7B34">
        <w:rPr>
          <w:rFonts w:ascii="Times New Roman" w:hAnsi="Times New Roman" w:cs="Times New Roman"/>
          <w:sz w:val="24"/>
          <w:szCs w:val="24"/>
        </w:rPr>
        <w:t xml:space="preserve">Od 1. 2. 2021 podle vyhlášky č. 27/2016 Sb., ve znění pozdějších předpisů, je podpůrné opatření pedagogická intervence pouze jako podpůrné opatření 1. stupně bez normované finanční náročnosti. Ukončení všech těchto podpůrných opatření </w:t>
      </w:r>
      <w:r>
        <w:rPr>
          <w:rFonts w:ascii="Times New Roman" w:hAnsi="Times New Roman" w:cs="Times New Roman"/>
          <w:sz w:val="24"/>
          <w:szCs w:val="24"/>
        </w:rPr>
        <w:t>bylo</w:t>
      </w:r>
      <w:r w:rsidRPr="000D7B34">
        <w:rPr>
          <w:rFonts w:ascii="Times New Roman" w:hAnsi="Times New Roman" w:cs="Times New Roman"/>
          <w:sz w:val="24"/>
          <w:szCs w:val="24"/>
        </w:rPr>
        <w:t xml:space="preserve"> provedeno automaticky odborem informatiky a statistiky MŠMT</w:t>
      </w:r>
      <w:r>
        <w:rPr>
          <w:rFonts w:ascii="Times New Roman" w:hAnsi="Times New Roman" w:cs="Times New Roman"/>
          <w:sz w:val="24"/>
          <w:szCs w:val="24"/>
        </w:rPr>
        <w:t xml:space="preserve"> ČR</w:t>
      </w:r>
      <w:r w:rsidRPr="000D7B34">
        <w:rPr>
          <w:rFonts w:ascii="Times New Roman" w:hAnsi="Times New Roman" w:cs="Times New Roman"/>
          <w:sz w:val="24"/>
          <w:szCs w:val="24"/>
        </w:rPr>
        <w:t xml:space="preserve">. Od 1. 2. 2021 již není možné poskytovat školám a školským zařízením finanční prostředky na tato podpůrná opatření prostřednictvím normované finanční náročnosti. </w:t>
      </w:r>
      <w:r w:rsidR="00B93E61">
        <w:rPr>
          <w:rFonts w:ascii="Times New Roman" w:hAnsi="Times New Roman" w:cs="Times New Roman"/>
          <w:spacing w:val="-2"/>
          <w:sz w:val="24"/>
        </w:rPr>
        <w:t>MŠMT ČR v této souvislosti deklaruje</w:t>
      </w:r>
      <w:r w:rsidR="00734202" w:rsidRPr="00424327">
        <w:rPr>
          <w:rFonts w:ascii="Times New Roman" w:hAnsi="Times New Roman" w:cs="Times New Roman"/>
          <w:spacing w:val="-2"/>
          <w:sz w:val="24"/>
        </w:rPr>
        <w:t xml:space="preserve"> úprav</w:t>
      </w:r>
      <w:r w:rsidR="00ED2D9B">
        <w:rPr>
          <w:rFonts w:ascii="Times New Roman" w:hAnsi="Times New Roman" w:cs="Times New Roman"/>
          <w:spacing w:val="-2"/>
          <w:sz w:val="24"/>
        </w:rPr>
        <w:t>u</w:t>
      </w:r>
      <w:r w:rsidR="00734202" w:rsidRPr="00424327">
        <w:rPr>
          <w:rFonts w:ascii="Times New Roman" w:hAnsi="Times New Roman" w:cs="Times New Roman"/>
          <w:spacing w:val="-2"/>
          <w:sz w:val="24"/>
        </w:rPr>
        <w:t xml:space="preserve"> n</w:t>
      </w:r>
      <w:r w:rsidR="00734202" w:rsidRPr="00424327">
        <w:rPr>
          <w:rFonts w:ascii="Times New Roman" w:hAnsi="Times New Roman" w:cs="Times New Roman"/>
          <w:sz w:val="24"/>
        </w:rPr>
        <w:t>ormativů nenárokových složek platu (tj. základní částka, která je následně násobena příslušným koeficientem)</w:t>
      </w:r>
      <w:r w:rsidR="00B93E61">
        <w:rPr>
          <w:rFonts w:ascii="Times New Roman" w:hAnsi="Times New Roman" w:cs="Times New Roman"/>
          <w:sz w:val="24"/>
        </w:rPr>
        <w:t>, které</w:t>
      </w:r>
      <w:r w:rsidR="00734202" w:rsidRPr="00424327">
        <w:rPr>
          <w:rFonts w:ascii="Times New Roman" w:hAnsi="Times New Roman" w:cs="Times New Roman"/>
          <w:sz w:val="24"/>
        </w:rPr>
        <w:t xml:space="preserve"> </w:t>
      </w:r>
      <w:r w:rsidR="00B93E61">
        <w:rPr>
          <w:rFonts w:ascii="Times New Roman" w:hAnsi="Times New Roman" w:cs="Times New Roman"/>
          <w:sz w:val="24"/>
        </w:rPr>
        <w:t>byly</w:t>
      </w:r>
      <w:r w:rsidR="00734202" w:rsidRPr="00424327">
        <w:rPr>
          <w:rFonts w:ascii="Times New Roman" w:hAnsi="Times New Roman" w:cs="Times New Roman"/>
          <w:sz w:val="24"/>
        </w:rPr>
        <w:t xml:space="preserve"> zvýšen</w:t>
      </w:r>
      <w:r w:rsidR="00B93E61">
        <w:rPr>
          <w:rFonts w:ascii="Times New Roman" w:hAnsi="Times New Roman" w:cs="Times New Roman"/>
          <w:sz w:val="24"/>
        </w:rPr>
        <w:t>y</w:t>
      </w:r>
      <w:r w:rsidR="00734202" w:rsidRPr="00424327">
        <w:rPr>
          <w:rFonts w:ascii="Times New Roman" w:hAnsi="Times New Roman" w:cs="Times New Roman"/>
          <w:sz w:val="24"/>
        </w:rPr>
        <w:t xml:space="preserve"> odpovídajícím způsobem, a to jak v</w:t>
      </w:r>
      <w:r w:rsidR="00ED2D9B">
        <w:rPr>
          <w:rFonts w:ascii="Times New Roman" w:hAnsi="Times New Roman" w:cs="Times New Roman"/>
          <w:sz w:val="24"/>
        </w:rPr>
        <w:t> </w:t>
      </w:r>
      <w:r w:rsidR="00734202" w:rsidRPr="00424327">
        <w:rPr>
          <w:rFonts w:ascii="Times New Roman" w:hAnsi="Times New Roman" w:cs="Times New Roman"/>
          <w:sz w:val="24"/>
        </w:rPr>
        <w:t>základní</w:t>
      </w:r>
      <w:r w:rsidR="00ED2D9B">
        <w:rPr>
          <w:rFonts w:ascii="Times New Roman" w:hAnsi="Times New Roman" w:cs="Times New Roman"/>
          <w:sz w:val="24"/>
        </w:rPr>
        <w:t>,</w:t>
      </w:r>
      <w:r w:rsidR="00734202" w:rsidRPr="00424327">
        <w:rPr>
          <w:rFonts w:ascii="Times New Roman" w:hAnsi="Times New Roman" w:cs="Times New Roman"/>
          <w:sz w:val="24"/>
        </w:rPr>
        <w:t xml:space="preserve"> tak ve střední škole.</w:t>
      </w:r>
    </w:p>
    <w:p w14:paraId="14906C7B" w14:textId="77777777" w:rsidR="004E3A8C" w:rsidRDefault="00E76E14" w:rsidP="00734202">
      <w:pPr>
        <w:tabs>
          <w:tab w:val="left" w:pos="851"/>
        </w:tabs>
        <w:spacing w:after="120"/>
        <w:jc w:val="both"/>
        <w:rPr>
          <w:rFonts w:ascii="Times New Roman" w:hAnsi="Times New Roman" w:cs="Times New Roman"/>
          <w:sz w:val="24"/>
        </w:rPr>
      </w:pPr>
      <w:r>
        <w:rPr>
          <w:rFonts w:ascii="Times New Roman" w:hAnsi="Times New Roman" w:cs="Times New Roman"/>
          <w:sz w:val="24"/>
        </w:rPr>
        <w:t xml:space="preserve">V této souvislosti </w:t>
      </w:r>
      <w:r w:rsidR="004B4740">
        <w:rPr>
          <w:rFonts w:ascii="Times New Roman" w:hAnsi="Times New Roman" w:cs="Times New Roman"/>
          <w:sz w:val="24"/>
        </w:rPr>
        <w:t>p</w:t>
      </w:r>
      <w:r w:rsidR="004E3A8C" w:rsidRPr="004E3A8C">
        <w:rPr>
          <w:rFonts w:ascii="Times New Roman" w:hAnsi="Times New Roman" w:cs="Times New Roman"/>
          <w:sz w:val="24"/>
        </w:rPr>
        <w:t>okud do 31. ledna 2021 ve škole zřizované krajem</w:t>
      </w:r>
      <w:r w:rsidR="004B4740">
        <w:rPr>
          <w:rFonts w:ascii="Times New Roman" w:hAnsi="Times New Roman" w:cs="Times New Roman"/>
          <w:sz w:val="24"/>
        </w:rPr>
        <w:t xml:space="preserve"> nebo</w:t>
      </w:r>
      <w:r w:rsidR="004E3A8C" w:rsidRPr="004E3A8C">
        <w:rPr>
          <w:rFonts w:ascii="Times New Roman" w:hAnsi="Times New Roman" w:cs="Times New Roman"/>
          <w:sz w:val="24"/>
        </w:rPr>
        <w:t xml:space="preserve"> obcí zajišťovali pedagogičtí pracovníci v pracovním poměru podpůrné opatření pedagogická intervence v rámci stanoveného rozsahu pedagogické činnosti (tzn. pedagogická intervence nebyla zajišťována konáním přímé pedagogické činnosti nad stanovený rozsah nebo na základě dohody o práci konané mimo pracovní poměr), může škola požádat krajský úřad o odpovídající zvýšení limitu počtu zaměstnanců</w:t>
      </w:r>
      <w:r w:rsidR="004B4740">
        <w:rPr>
          <w:rFonts w:ascii="Times New Roman" w:hAnsi="Times New Roman" w:cs="Times New Roman"/>
          <w:sz w:val="24"/>
        </w:rPr>
        <w:t xml:space="preserve"> (tj. bez finančních prostředků</w:t>
      </w:r>
      <w:r w:rsidR="004E3A8C" w:rsidRPr="004E3A8C">
        <w:rPr>
          <w:rFonts w:ascii="Times New Roman" w:hAnsi="Times New Roman" w:cs="Times New Roman"/>
          <w:sz w:val="24"/>
        </w:rPr>
        <w:t>)</w:t>
      </w:r>
      <w:r w:rsidR="004B4740">
        <w:rPr>
          <w:rFonts w:ascii="Times New Roman" w:hAnsi="Times New Roman" w:cs="Times New Roman"/>
          <w:sz w:val="24"/>
        </w:rPr>
        <w:t>, a to na</w:t>
      </w:r>
      <w:r w:rsidR="004E3A8C" w:rsidRPr="004E3A8C">
        <w:rPr>
          <w:rFonts w:ascii="Times New Roman" w:hAnsi="Times New Roman" w:cs="Times New Roman"/>
          <w:sz w:val="24"/>
        </w:rPr>
        <w:t xml:space="preserve"> období od 1. února 2021 do 31. srpna 2021 tak, aby úvazky těchto pedagogických pracovníků nemusely být v uvedeném období</w:t>
      </w:r>
      <w:r w:rsidR="00D33884">
        <w:rPr>
          <w:rFonts w:ascii="Times New Roman" w:hAnsi="Times New Roman" w:cs="Times New Roman"/>
          <w:sz w:val="24"/>
        </w:rPr>
        <w:br/>
      </w:r>
      <w:r w:rsidR="004E3A8C" w:rsidRPr="004E3A8C">
        <w:rPr>
          <w:rFonts w:ascii="Times New Roman" w:hAnsi="Times New Roman" w:cs="Times New Roman"/>
          <w:sz w:val="24"/>
        </w:rPr>
        <w:t>v důsledku novely vyhlášky kráceny</w:t>
      </w:r>
      <w:r w:rsidR="004B4740">
        <w:rPr>
          <w:rFonts w:ascii="Times New Roman" w:hAnsi="Times New Roman" w:cs="Times New Roman"/>
          <w:sz w:val="24"/>
        </w:rPr>
        <w:t>.</w:t>
      </w:r>
    </w:p>
    <w:p w14:paraId="039E5EB0" w14:textId="77777777" w:rsidR="004E3A8C" w:rsidRDefault="004E3A8C" w:rsidP="00734202">
      <w:pPr>
        <w:tabs>
          <w:tab w:val="left" w:pos="851"/>
        </w:tabs>
        <w:spacing w:after="120"/>
        <w:jc w:val="both"/>
        <w:rPr>
          <w:rFonts w:ascii="Times New Roman" w:hAnsi="Times New Roman" w:cs="Times New Roman"/>
          <w:sz w:val="24"/>
        </w:rPr>
      </w:pPr>
    </w:p>
    <w:p w14:paraId="6DA33BA9" w14:textId="77777777" w:rsidR="00D33884" w:rsidRDefault="00D33884" w:rsidP="002C7A68">
      <w:pPr>
        <w:rPr>
          <w:rFonts w:ascii="Times New Roman" w:hAnsi="Times New Roman" w:cs="Times New Roman"/>
          <w:sz w:val="24"/>
          <w:szCs w:val="24"/>
          <w:u w:val="single"/>
        </w:rPr>
      </w:pPr>
    </w:p>
    <w:p w14:paraId="2A34A54D" w14:textId="77777777" w:rsidR="00D33884" w:rsidRDefault="00D33884" w:rsidP="002C7A68">
      <w:pPr>
        <w:rPr>
          <w:rFonts w:ascii="Times New Roman" w:hAnsi="Times New Roman" w:cs="Times New Roman"/>
          <w:sz w:val="24"/>
          <w:szCs w:val="24"/>
          <w:u w:val="single"/>
        </w:rPr>
      </w:pPr>
    </w:p>
    <w:p w14:paraId="40B64BD2" w14:textId="77777777" w:rsidR="002C7A68" w:rsidRPr="001C25F2" w:rsidRDefault="002C7A68" w:rsidP="002C7A68">
      <w:pPr>
        <w:rPr>
          <w:rFonts w:ascii="Times New Roman" w:hAnsi="Times New Roman" w:cs="Times New Roman"/>
          <w:sz w:val="24"/>
          <w:szCs w:val="24"/>
          <w:u w:val="single"/>
        </w:rPr>
      </w:pPr>
      <w:r w:rsidRPr="001C25F2">
        <w:rPr>
          <w:rFonts w:ascii="Times New Roman" w:hAnsi="Times New Roman" w:cs="Times New Roman"/>
          <w:sz w:val="24"/>
          <w:szCs w:val="24"/>
          <w:u w:val="single"/>
        </w:rPr>
        <w:lastRenderedPageBreak/>
        <w:t>Stanovení sazby OON</w:t>
      </w:r>
    </w:p>
    <w:p w14:paraId="2C8790C1" w14:textId="77777777" w:rsidR="002C7A68" w:rsidRPr="00650DC6" w:rsidRDefault="002C7A68" w:rsidP="002C7A68">
      <w:pPr>
        <w:jc w:val="both"/>
        <w:rPr>
          <w:rFonts w:ascii="Times New Roman" w:hAnsi="Times New Roman" w:cs="Times New Roman"/>
          <w:sz w:val="24"/>
          <w:szCs w:val="24"/>
        </w:rPr>
      </w:pPr>
      <w:r w:rsidRPr="009C041D">
        <w:rPr>
          <w:rFonts w:ascii="Times New Roman" w:hAnsi="Times New Roman" w:cs="Times New Roman"/>
          <w:sz w:val="24"/>
          <w:szCs w:val="24"/>
        </w:rPr>
        <w:t>V případě přidělení OON nad rámec rozpisu rozpočtu bude provedena úprava v souvislosti s počtem hodin</w:t>
      </w:r>
      <w:r w:rsidR="00000CF2">
        <w:rPr>
          <w:rFonts w:ascii="Times New Roman" w:hAnsi="Times New Roman" w:cs="Times New Roman"/>
          <w:sz w:val="24"/>
          <w:szCs w:val="24"/>
        </w:rPr>
        <w:t xml:space="preserve"> (vykázaných ve výkazu P1c-01</w:t>
      </w:r>
      <w:r w:rsidRPr="009C041D">
        <w:rPr>
          <w:rFonts w:ascii="Times New Roman" w:hAnsi="Times New Roman" w:cs="Times New Roman"/>
          <w:sz w:val="24"/>
          <w:szCs w:val="24"/>
        </w:rPr>
        <w:t xml:space="preserve">, odd. VIII) určeným na dohody o </w:t>
      </w:r>
      <w:r w:rsidR="00AA21A0" w:rsidRPr="009C041D">
        <w:rPr>
          <w:rFonts w:ascii="Times New Roman" w:hAnsi="Times New Roman" w:cs="Times New Roman"/>
          <w:sz w:val="24"/>
          <w:szCs w:val="24"/>
        </w:rPr>
        <w:t xml:space="preserve">pracovní </w:t>
      </w:r>
      <w:r w:rsidRPr="009C041D">
        <w:rPr>
          <w:rFonts w:ascii="Times New Roman" w:hAnsi="Times New Roman" w:cs="Times New Roman"/>
          <w:sz w:val="24"/>
          <w:szCs w:val="24"/>
        </w:rPr>
        <w:t xml:space="preserve">činnosti nebo </w:t>
      </w:r>
      <w:r w:rsidR="00AA21A0" w:rsidRPr="009C041D">
        <w:rPr>
          <w:rFonts w:ascii="Times New Roman" w:hAnsi="Times New Roman" w:cs="Times New Roman"/>
          <w:sz w:val="24"/>
          <w:szCs w:val="24"/>
        </w:rPr>
        <w:t xml:space="preserve">na dohody o provedení </w:t>
      </w:r>
      <w:r w:rsidRPr="009C041D">
        <w:rPr>
          <w:rFonts w:ascii="Times New Roman" w:hAnsi="Times New Roman" w:cs="Times New Roman"/>
          <w:sz w:val="24"/>
          <w:szCs w:val="24"/>
        </w:rPr>
        <w:t xml:space="preserve">práce, a to do </w:t>
      </w:r>
      <w:proofErr w:type="spellStart"/>
      <w:r w:rsidRPr="009C041D">
        <w:rPr>
          <w:rFonts w:ascii="Times New Roman" w:hAnsi="Times New Roman" w:cs="Times New Roman"/>
          <w:sz w:val="24"/>
          <w:szCs w:val="24"/>
        </w:rPr>
        <w:t>PHmax</w:t>
      </w:r>
      <w:proofErr w:type="spellEnd"/>
      <w:r w:rsidRPr="009C041D">
        <w:rPr>
          <w:rFonts w:ascii="Times New Roman" w:hAnsi="Times New Roman" w:cs="Times New Roman"/>
          <w:sz w:val="24"/>
          <w:szCs w:val="24"/>
        </w:rPr>
        <w:t xml:space="preserve"> na základě následujících sazeb: MŠ 26</w:t>
      </w:r>
      <w:r w:rsidR="00FF6560">
        <w:rPr>
          <w:rFonts w:ascii="Times New Roman" w:hAnsi="Times New Roman" w:cs="Times New Roman"/>
          <w:sz w:val="24"/>
          <w:szCs w:val="24"/>
        </w:rPr>
        <w:t>8</w:t>
      </w:r>
      <w:r w:rsidRPr="009C041D">
        <w:rPr>
          <w:rFonts w:ascii="Times New Roman" w:hAnsi="Times New Roman" w:cs="Times New Roman"/>
          <w:sz w:val="24"/>
          <w:szCs w:val="24"/>
        </w:rPr>
        <w:t xml:space="preserve"> Kč</w:t>
      </w:r>
      <w:r w:rsidR="00AA21A0" w:rsidRPr="009C041D">
        <w:rPr>
          <w:rFonts w:ascii="Times New Roman" w:hAnsi="Times New Roman" w:cs="Times New Roman"/>
          <w:sz w:val="24"/>
          <w:szCs w:val="24"/>
        </w:rPr>
        <w:t>/</w:t>
      </w:r>
      <w:r w:rsidRPr="009C041D">
        <w:rPr>
          <w:rFonts w:ascii="Times New Roman" w:hAnsi="Times New Roman" w:cs="Times New Roman"/>
          <w:sz w:val="24"/>
          <w:szCs w:val="24"/>
        </w:rPr>
        <w:t>hod</w:t>
      </w:r>
      <w:r w:rsidR="00AA21A0" w:rsidRPr="009C041D">
        <w:rPr>
          <w:rFonts w:ascii="Times New Roman" w:hAnsi="Times New Roman" w:cs="Times New Roman"/>
          <w:sz w:val="24"/>
          <w:szCs w:val="24"/>
        </w:rPr>
        <w:t>.;</w:t>
      </w:r>
      <w:r w:rsidRPr="009C041D">
        <w:rPr>
          <w:rFonts w:ascii="Times New Roman" w:hAnsi="Times New Roman" w:cs="Times New Roman"/>
          <w:sz w:val="24"/>
          <w:szCs w:val="24"/>
        </w:rPr>
        <w:t xml:space="preserve"> ZŠ 4</w:t>
      </w:r>
      <w:r w:rsidR="00FF6560">
        <w:rPr>
          <w:rFonts w:ascii="Times New Roman" w:hAnsi="Times New Roman" w:cs="Times New Roman"/>
          <w:sz w:val="24"/>
          <w:szCs w:val="24"/>
        </w:rPr>
        <w:t>36</w:t>
      </w:r>
      <w:r w:rsidR="00AA21A0" w:rsidRPr="009C041D">
        <w:rPr>
          <w:rFonts w:ascii="Times New Roman" w:hAnsi="Times New Roman" w:cs="Times New Roman"/>
          <w:sz w:val="24"/>
          <w:szCs w:val="24"/>
        </w:rPr>
        <w:t xml:space="preserve"> Kč/hod.;</w:t>
      </w:r>
      <w:r w:rsidRPr="009C041D">
        <w:rPr>
          <w:rFonts w:ascii="Times New Roman" w:hAnsi="Times New Roman" w:cs="Times New Roman"/>
          <w:sz w:val="24"/>
          <w:szCs w:val="24"/>
        </w:rPr>
        <w:t xml:space="preserve"> ŠD 2</w:t>
      </w:r>
      <w:r w:rsidR="00FF6560">
        <w:rPr>
          <w:rFonts w:ascii="Times New Roman" w:hAnsi="Times New Roman" w:cs="Times New Roman"/>
          <w:sz w:val="24"/>
          <w:szCs w:val="24"/>
        </w:rPr>
        <w:t>72</w:t>
      </w:r>
      <w:r w:rsidR="00AA21A0" w:rsidRPr="009C041D">
        <w:rPr>
          <w:rFonts w:ascii="Times New Roman" w:hAnsi="Times New Roman" w:cs="Times New Roman"/>
          <w:sz w:val="24"/>
          <w:szCs w:val="24"/>
        </w:rPr>
        <w:t xml:space="preserve"> Kč/hod., SŠ </w:t>
      </w:r>
      <w:r w:rsidR="00FF6560">
        <w:rPr>
          <w:rFonts w:ascii="Times New Roman" w:hAnsi="Times New Roman" w:cs="Times New Roman"/>
          <w:sz w:val="24"/>
          <w:szCs w:val="24"/>
        </w:rPr>
        <w:t>466</w:t>
      </w:r>
      <w:r w:rsidR="00AA21A0" w:rsidRPr="009C041D">
        <w:rPr>
          <w:rFonts w:ascii="Times New Roman" w:hAnsi="Times New Roman" w:cs="Times New Roman"/>
          <w:sz w:val="24"/>
          <w:szCs w:val="24"/>
        </w:rPr>
        <w:t xml:space="preserve"> Kč/hod.</w:t>
      </w:r>
      <w:r w:rsidRPr="00650DC6">
        <w:rPr>
          <w:rFonts w:ascii="Times New Roman" w:hAnsi="Times New Roman" w:cs="Times New Roman"/>
          <w:sz w:val="24"/>
          <w:szCs w:val="24"/>
        </w:rPr>
        <w:t xml:space="preserve"> </w:t>
      </w:r>
    </w:p>
    <w:p w14:paraId="67C9114E" w14:textId="77777777" w:rsidR="002C7A68" w:rsidRPr="001C25F2" w:rsidRDefault="002C7A68" w:rsidP="002C7A68">
      <w:pPr>
        <w:rPr>
          <w:rFonts w:ascii="Times New Roman" w:hAnsi="Times New Roman" w:cs="Times New Roman"/>
          <w:sz w:val="24"/>
          <w:szCs w:val="24"/>
          <w:u w:val="single"/>
        </w:rPr>
      </w:pPr>
      <w:r w:rsidRPr="001C25F2">
        <w:rPr>
          <w:rFonts w:ascii="Times New Roman" w:hAnsi="Times New Roman" w:cs="Times New Roman"/>
          <w:sz w:val="24"/>
          <w:szCs w:val="24"/>
          <w:u w:val="single"/>
        </w:rPr>
        <w:t>Ostatní úpravy rozpočtu</w:t>
      </w:r>
    </w:p>
    <w:p w14:paraId="27A9CB55" w14:textId="77777777" w:rsidR="002C7A68" w:rsidRPr="00940364" w:rsidRDefault="00472694" w:rsidP="00115F5E">
      <w:pPr>
        <w:jc w:val="both"/>
        <w:rPr>
          <w:rFonts w:ascii="Times New Roman" w:hAnsi="Times New Roman" w:cs="Times New Roman"/>
          <w:sz w:val="24"/>
          <w:szCs w:val="24"/>
        </w:rPr>
      </w:pPr>
      <w:r w:rsidRPr="00940364">
        <w:rPr>
          <w:rFonts w:ascii="Times New Roman" w:hAnsi="Times New Roman" w:cs="Times New Roman"/>
          <w:sz w:val="24"/>
          <w:szCs w:val="24"/>
        </w:rPr>
        <w:t xml:space="preserve">Finanční prostředky na čerpání </w:t>
      </w:r>
      <w:r w:rsidR="002C7A68" w:rsidRPr="00940364">
        <w:rPr>
          <w:rFonts w:ascii="Times New Roman" w:hAnsi="Times New Roman" w:cs="Times New Roman"/>
          <w:sz w:val="24"/>
          <w:szCs w:val="24"/>
        </w:rPr>
        <w:t xml:space="preserve">dovolené po mateřské dovolené a platové postupy nebudou přidělovány plošně, </w:t>
      </w:r>
      <w:r w:rsidRPr="00940364">
        <w:rPr>
          <w:rFonts w:ascii="Times New Roman" w:hAnsi="Times New Roman" w:cs="Times New Roman"/>
          <w:sz w:val="24"/>
          <w:szCs w:val="24"/>
        </w:rPr>
        <w:t xml:space="preserve">zohledněny budou individuálně </w:t>
      </w:r>
      <w:r w:rsidR="002C7A68" w:rsidRPr="00940364">
        <w:rPr>
          <w:rFonts w:ascii="Times New Roman" w:hAnsi="Times New Roman" w:cs="Times New Roman"/>
          <w:sz w:val="24"/>
          <w:szCs w:val="24"/>
        </w:rPr>
        <w:t xml:space="preserve">pouze v případě objektivní potřeby. </w:t>
      </w:r>
    </w:p>
    <w:p w14:paraId="37EA483B" w14:textId="77777777" w:rsidR="00D33884" w:rsidRDefault="00D33884" w:rsidP="00C952C2">
      <w:pPr>
        <w:pStyle w:val="Seznamsodrkami"/>
        <w:numPr>
          <w:ilvl w:val="0"/>
          <w:numId w:val="0"/>
        </w:numPr>
        <w:rPr>
          <w:b/>
        </w:rPr>
      </w:pPr>
    </w:p>
    <w:p w14:paraId="31E1DCCC" w14:textId="77777777" w:rsidR="00C952C2" w:rsidRDefault="003A05DE" w:rsidP="00C952C2">
      <w:pPr>
        <w:pStyle w:val="Seznamsodrkami"/>
        <w:numPr>
          <w:ilvl w:val="0"/>
          <w:numId w:val="0"/>
        </w:numPr>
      </w:pPr>
      <w:r>
        <w:rPr>
          <w:b/>
        </w:rPr>
        <w:t xml:space="preserve">Zohlednění objektivních specifických potřeb právnických osob </w:t>
      </w:r>
    </w:p>
    <w:p w14:paraId="40E03E06" w14:textId="77777777" w:rsidR="00866805" w:rsidRDefault="00866805" w:rsidP="00866805">
      <w:pPr>
        <w:pStyle w:val="Seznamsodrkami"/>
        <w:numPr>
          <w:ilvl w:val="0"/>
          <w:numId w:val="0"/>
        </w:numPr>
      </w:pPr>
    </w:p>
    <w:p w14:paraId="75B843B1" w14:textId="77777777" w:rsidR="005263D4" w:rsidRPr="005263D4" w:rsidRDefault="005263D4" w:rsidP="005263D4">
      <w:pPr>
        <w:jc w:val="both"/>
        <w:rPr>
          <w:rFonts w:ascii="Times New Roman" w:hAnsi="Times New Roman" w:cs="Times New Roman"/>
          <w:sz w:val="24"/>
          <w:szCs w:val="24"/>
        </w:rPr>
      </w:pPr>
      <w:r w:rsidRPr="005263D4">
        <w:rPr>
          <w:rFonts w:ascii="Times New Roman" w:hAnsi="Times New Roman" w:cs="Times New Roman"/>
          <w:sz w:val="24"/>
          <w:szCs w:val="24"/>
        </w:rPr>
        <w:t xml:space="preserve">Považuje-li právnická osoba rozpis přímých výdajů s výjimkou finančních prostředků stanovených </w:t>
      </w:r>
      <w:r w:rsidR="00A85D6D">
        <w:rPr>
          <w:rFonts w:ascii="Times New Roman" w:hAnsi="Times New Roman" w:cs="Times New Roman"/>
          <w:sz w:val="24"/>
          <w:szCs w:val="24"/>
        </w:rPr>
        <w:t xml:space="preserve">MŠMT </w:t>
      </w:r>
      <w:r w:rsidRPr="005263D4">
        <w:rPr>
          <w:rFonts w:ascii="Times New Roman" w:hAnsi="Times New Roman" w:cs="Times New Roman"/>
          <w:sz w:val="24"/>
          <w:szCs w:val="24"/>
        </w:rPr>
        <w:t>podle § 161 odst. 3 písm. a) a b) školského zákona s výjimkou rozpisu přímých výdajů na podpůrná opatření za nepostačující k zajištění nezbytných potřeb vyplývajících z právních předpisů a rámcových vzdělávacích programů, popřípadě schválených učebních dokumentů, provede si sama porovnání finanční rozvahy o počtu zaměstnanců</w:t>
      </w:r>
      <w:r w:rsidR="00D33884">
        <w:rPr>
          <w:rFonts w:ascii="Times New Roman" w:hAnsi="Times New Roman" w:cs="Times New Roman"/>
          <w:sz w:val="24"/>
          <w:szCs w:val="24"/>
        </w:rPr>
        <w:br/>
      </w:r>
      <w:r w:rsidRPr="005263D4">
        <w:rPr>
          <w:rFonts w:ascii="Times New Roman" w:hAnsi="Times New Roman" w:cs="Times New Roman"/>
          <w:sz w:val="24"/>
          <w:szCs w:val="24"/>
        </w:rPr>
        <w:t>a mzdových prostředcích s rozpisem rozpočtu a předloží návrhy na odstranění disproporcí. Právnické osoby zřizované krajem předloží uvedené podklady s konkretizovanou žádostí</w:t>
      </w:r>
      <w:r w:rsidR="00D33884">
        <w:rPr>
          <w:rFonts w:ascii="Times New Roman" w:hAnsi="Times New Roman" w:cs="Times New Roman"/>
          <w:sz w:val="24"/>
          <w:szCs w:val="24"/>
        </w:rPr>
        <w:br/>
      </w:r>
      <w:r w:rsidRPr="005263D4">
        <w:rPr>
          <w:rFonts w:ascii="Times New Roman" w:hAnsi="Times New Roman" w:cs="Times New Roman"/>
          <w:sz w:val="24"/>
          <w:szCs w:val="24"/>
        </w:rPr>
        <w:t xml:space="preserve">o projednání </w:t>
      </w:r>
      <w:r w:rsidR="00A85D6D">
        <w:rPr>
          <w:rFonts w:ascii="Times New Roman" w:hAnsi="Times New Roman" w:cs="Times New Roman"/>
          <w:sz w:val="24"/>
          <w:szCs w:val="24"/>
        </w:rPr>
        <w:t>OŠMTS</w:t>
      </w:r>
      <w:r w:rsidRPr="005263D4">
        <w:rPr>
          <w:rFonts w:ascii="Times New Roman" w:hAnsi="Times New Roman" w:cs="Times New Roman"/>
          <w:sz w:val="24"/>
          <w:szCs w:val="24"/>
        </w:rPr>
        <w:t xml:space="preserve"> a obcemi zřizované právnické osoby činí totéž místně příslušnému obecnímu úřadu s rozšířenou působností (ORP).  </w:t>
      </w:r>
    </w:p>
    <w:p w14:paraId="3909E380" w14:textId="77777777" w:rsidR="005263D4" w:rsidRPr="005263D4" w:rsidRDefault="005263D4" w:rsidP="00337BC9">
      <w:pPr>
        <w:jc w:val="both"/>
        <w:rPr>
          <w:rFonts w:ascii="Times New Roman" w:hAnsi="Times New Roman" w:cs="Times New Roman"/>
          <w:sz w:val="24"/>
          <w:szCs w:val="24"/>
        </w:rPr>
      </w:pPr>
      <w:r w:rsidRPr="005263D4">
        <w:rPr>
          <w:rFonts w:ascii="Times New Roman" w:hAnsi="Times New Roman" w:cs="Times New Roman"/>
          <w:sz w:val="24"/>
          <w:szCs w:val="24"/>
        </w:rPr>
        <w:t xml:space="preserve">ORP ověří správnost údajů v žádosti uvedených včetně jejich objektivnosti a porovná finanční rozvahu s rozpisem přímých výdajů. Na základě tohoto porovnání určí příčiny a navrhne konkrétní opatření k odstranění zjištěných disproporcí. ORP předloží projednané a z pohledu objektivnosti posouzené rozvahy jednotlivých organizací porovnané s rozpisem přímých výdajů obsahujícím konkrétní návrhy příslušné pracovnici OŠMTS. Následně bude provedena kontrola porovnání finančních rozvah s rozpisy přímých výdajů a návrhů na odstranění disproporcí. Pokud disproporce přetrvávají, projedná </w:t>
      </w:r>
      <w:r w:rsidR="00F423EC">
        <w:rPr>
          <w:rFonts w:ascii="Times New Roman" w:hAnsi="Times New Roman" w:cs="Times New Roman"/>
          <w:sz w:val="24"/>
          <w:szCs w:val="24"/>
        </w:rPr>
        <w:t>OŠMTS</w:t>
      </w:r>
      <w:r w:rsidRPr="005263D4">
        <w:rPr>
          <w:rFonts w:ascii="Times New Roman" w:hAnsi="Times New Roman" w:cs="Times New Roman"/>
          <w:sz w:val="24"/>
          <w:szCs w:val="24"/>
        </w:rPr>
        <w:t xml:space="preserve"> konkrétní opatření a postup jejich odstranění s příslušnou OPR. Následně ORP na jeho základě projednají konkrétní opatření a postupy jejich odstranění s organizacemi a o výsledku tohoto procesu krajský úřad informují. Na základě výsledků projednání </w:t>
      </w:r>
      <w:r w:rsidR="00337BC9">
        <w:rPr>
          <w:rFonts w:ascii="Times New Roman" w:hAnsi="Times New Roman" w:cs="Times New Roman"/>
          <w:sz w:val="24"/>
          <w:szCs w:val="24"/>
        </w:rPr>
        <w:t>OŠMTS</w:t>
      </w:r>
      <w:r w:rsidRPr="005263D4">
        <w:rPr>
          <w:rFonts w:ascii="Times New Roman" w:hAnsi="Times New Roman" w:cs="Times New Roman"/>
          <w:sz w:val="24"/>
          <w:szCs w:val="24"/>
        </w:rPr>
        <w:t xml:space="preserve"> provede úpravu rozpisu přímých výdajů jednotlivým organizacím nebo ho beze změny potvrdí. </w:t>
      </w:r>
    </w:p>
    <w:p w14:paraId="4B696543" w14:textId="77777777" w:rsidR="00866805" w:rsidRDefault="005263D4" w:rsidP="005263D4">
      <w:pPr>
        <w:jc w:val="both"/>
        <w:rPr>
          <w:rFonts w:ascii="Times New Roman" w:hAnsi="Times New Roman" w:cs="Times New Roman"/>
          <w:sz w:val="24"/>
          <w:szCs w:val="24"/>
        </w:rPr>
      </w:pPr>
      <w:r w:rsidRPr="005263D4">
        <w:rPr>
          <w:rFonts w:ascii="Times New Roman" w:hAnsi="Times New Roman" w:cs="Times New Roman"/>
          <w:sz w:val="24"/>
          <w:szCs w:val="24"/>
        </w:rPr>
        <w:t xml:space="preserve">O projednání rozpisu přímých výdajů a jeho výsledcích zpracuje </w:t>
      </w:r>
      <w:r w:rsidR="00337BC9">
        <w:rPr>
          <w:rFonts w:ascii="Times New Roman" w:hAnsi="Times New Roman" w:cs="Times New Roman"/>
          <w:sz w:val="24"/>
          <w:szCs w:val="24"/>
        </w:rPr>
        <w:t>OŠMTS</w:t>
      </w:r>
      <w:r w:rsidRPr="005263D4">
        <w:rPr>
          <w:rFonts w:ascii="Times New Roman" w:hAnsi="Times New Roman" w:cs="Times New Roman"/>
          <w:sz w:val="24"/>
          <w:szCs w:val="24"/>
        </w:rPr>
        <w:t xml:space="preserve"> ve spolupráci s ORP protokol, s jehož závěry prokazatelným způsobem seznámí organizaci. V případě, že výsledkem projednání není úprava rozpisu přímých výdajů, uvede krajský úřad v protokolu konkrétní opatření, případně kroky a termíny, které organizaci zajistí srovnání se s celoročním rozpočtem přímých výdajů včetně jednotlivých závazných ukazatelů stanovených na základě krajských normativů.</w:t>
      </w:r>
    </w:p>
    <w:p w14:paraId="255EAB49" w14:textId="77777777" w:rsidR="009754A9" w:rsidRDefault="009754A9" w:rsidP="005263D4">
      <w:pPr>
        <w:jc w:val="both"/>
        <w:rPr>
          <w:rFonts w:ascii="Times New Roman" w:hAnsi="Times New Roman" w:cs="Times New Roman"/>
          <w:sz w:val="24"/>
          <w:szCs w:val="24"/>
        </w:rPr>
      </w:pPr>
      <w:r w:rsidRPr="009754A9">
        <w:rPr>
          <w:rFonts w:ascii="Times New Roman" w:hAnsi="Times New Roman" w:cs="Times New Roman"/>
          <w:sz w:val="24"/>
          <w:szCs w:val="24"/>
        </w:rPr>
        <w:t xml:space="preserve">Upozorňujeme, že OŠMTS již nebude při úpravách rozpisu rozpočtu přímých výdajů zohledňovat chyby, kterých se školy při vykazování dopustily. Za správnost vykázaných údajů odpovídá ředitel školy či školského zařízení. Chybně vykázané informace v neprospěch školy </w:t>
      </w:r>
      <w:r w:rsidRPr="009754A9">
        <w:rPr>
          <w:rFonts w:ascii="Times New Roman" w:hAnsi="Times New Roman" w:cs="Times New Roman"/>
          <w:sz w:val="24"/>
          <w:szCs w:val="24"/>
        </w:rPr>
        <w:lastRenderedPageBreak/>
        <w:t>znamenají, že škola neobdrží dostatek finančních prostředků, naopak mylně vykázané informace ve prospěch školy mají za následek neoprávněné čerpání finančních prostředků.</w:t>
      </w:r>
    </w:p>
    <w:p w14:paraId="3BDDD13B" w14:textId="77777777" w:rsidR="009754A9" w:rsidRDefault="009754A9" w:rsidP="005263D4">
      <w:pPr>
        <w:jc w:val="both"/>
        <w:rPr>
          <w:rFonts w:ascii="Times New Roman" w:hAnsi="Times New Roman" w:cs="Times New Roman"/>
          <w:sz w:val="24"/>
          <w:szCs w:val="24"/>
        </w:rPr>
      </w:pPr>
    </w:p>
    <w:p w14:paraId="47B0A9BD" w14:textId="77777777" w:rsidR="009732A4" w:rsidRPr="004936F8" w:rsidRDefault="009732A4" w:rsidP="004936F8">
      <w:pPr>
        <w:jc w:val="both"/>
        <w:rPr>
          <w:rFonts w:ascii="Times New Roman" w:hAnsi="Times New Roman" w:cs="Times New Roman"/>
          <w:b/>
          <w:sz w:val="24"/>
          <w:szCs w:val="24"/>
        </w:rPr>
      </w:pPr>
      <w:r w:rsidRPr="004936F8">
        <w:rPr>
          <w:rFonts w:ascii="Times New Roman" w:hAnsi="Times New Roman" w:cs="Times New Roman"/>
          <w:b/>
          <w:sz w:val="24"/>
          <w:szCs w:val="24"/>
        </w:rPr>
        <w:t>Právnické osoby zřizované obcemi</w:t>
      </w:r>
    </w:p>
    <w:p w14:paraId="5F6C8150" w14:textId="77777777" w:rsidR="009732A4" w:rsidRDefault="009732A4" w:rsidP="004936F8">
      <w:pPr>
        <w:jc w:val="both"/>
        <w:rPr>
          <w:rFonts w:ascii="Times New Roman" w:hAnsi="Times New Roman" w:cs="Times New Roman"/>
          <w:sz w:val="24"/>
          <w:szCs w:val="24"/>
        </w:rPr>
      </w:pPr>
      <w:r w:rsidRPr="009732A4">
        <w:rPr>
          <w:rFonts w:ascii="Times New Roman" w:hAnsi="Times New Roman" w:cs="Times New Roman"/>
          <w:sz w:val="24"/>
          <w:szCs w:val="24"/>
        </w:rPr>
        <w:t>Právnická osoba, která považuje rozpis přímých výdajů podle čl. III a IV směrnice s výjimkou finančních prostředků stanovených ministerstvem podle § 161 odst. 3 písm. a) a b)</w:t>
      </w:r>
      <w:r w:rsidRPr="004936F8">
        <w:rPr>
          <w:rFonts w:ascii="Times New Roman" w:hAnsi="Times New Roman" w:cs="Times New Roman"/>
          <w:sz w:val="24"/>
          <w:szCs w:val="24"/>
        </w:rPr>
        <w:t xml:space="preserve"> </w:t>
      </w:r>
      <w:r w:rsidRPr="009732A4">
        <w:rPr>
          <w:rFonts w:ascii="Times New Roman" w:hAnsi="Times New Roman" w:cs="Times New Roman"/>
          <w:sz w:val="24"/>
          <w:szCs w:val="24"/>
        </w:rPr>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w:t>
      </w:r>
      <w:r w:rsidR="00047D7F">
        <w:rPr>
          <w:rFonts w:ascii="Times New Roman" w:hAnsi="Times New Roman" w:cs="Times New Roman"/>
          <w:sz w:val="24"/>
          <w:szCs w:val="24"/>
        </w:rPr>
        <w:t>í</w:t>
      </w:r>
      <w:r w:rsidRPr="009732A4">
        <w:rPr>
          <w:rFonts w:ascii="Times New Roman" w:hAnsi="Times New Roman" w:cs="Times New Roman"/>
          <w:sz w:val="24"/>
          <w:szCs w:val="24"/>
        </w:rPr>
        <w:t xml:space="preserve"> ORP </w:t>
      </w:r>
      <w:r w:rsidR="00047D7F" w:rsidRPr="00047D7F">
        <w:rPr>
          <w:rFonts w:ascii="Times New Roman" w:hAnsi="Times New Roman" w:cs="Times New Roman"/>
          <w:sz w:val="24"/>
          <w:szCs w:val="24"/>
        </w:rPr>
        <w:t>(blíže viz kap. 7, Krajské metodiky rozpisu přímých výdajů, č. j. KULK  15637/2021 ze dne 3. 3. 2021),</w:t>
      </w:r>
      <w:r w:rsidR="00047D7F">
        <w:rPr>
          <w:rFonts w:ascii="Times New Roman" w:hAnsi="Times New Roman" w:cs="Times New Roman"/>
          <w:sz w:val="24"/>
          <w:szCs w:val="24"/>
        </w:rPr>
        <w:t xml:space="preserve"> </w:t>
      </w:r>
      <w:r w:rsidRPr="009732A4">
        <w:rPr>
          <w:rFonts w:ascii="Times New Roman" w:hAnsi="Times New Roman" w:cs="Times New Roman"/>
          <w:sz w:val="24"/>
          <w:szCs w:val="24"/>
        </w:rPr>
        <w:t>a to v následujících termínech:</w:t>
      </w:r>
    </w:p>
    <w:p w14:paraId="60A9C91B" w14:textId="77777777" w:rsidR="009732A4" w:rsidRPr="009732A4" w:rsidRDefault="009732A4" w:rsidP="009732A4">
      <w:pPr>
        <w:pStyle w:val="Seznamsodrkami"/>
      </w:pPr>
      <w:r w:rsidRPr="009732A4">
        <w:t>Protokol o projednání rozpisu rozpočtu přímých výdajů na rok 2021 spolu s porovnáním finanční rozvahy s rozpisem rozpočtu a návrhem na odstranění disproporcí předloží právnické osoby zřizované obcemi místně příslušné ORP, a to nejdéle</w:t>
      </w:r>
      <w:r w:rsidRPr="009732A4">
        <w:rPr>
          <w:b/>
        </w:rPr>
        <w:t xml:space="preserve"> </w:t>
      </w:r>
      <w:r w:rsidRPr="009732A4">
        <w:t>do</w:t>
      </w:r>
      <w:r w:rsidRPr="009732A4">
        <w:rPr>
          <w:b/>
        </w:rPr>
        <w:t xml:space="preserve"> 19. března 2021.</w:t>
      </w:r>
    </w:p>
    <w:p w14:paraId="6C94F1FD" w14:textId="77777777" w:rsidR="009732A4" w:rsidRPr="009732A4" w:rsidRDefault="009732A4" w:rsidP="009732A4">
      <w:pPr>
        <w:pStyle w:val="Seznamsodrkami"/>
      </w:pPr>
      <w:r w:rsidRPr="009732A4">
        <w:t>Obecní úřad obce s rozšířenou působností nejdéle do</w:t>
      </w:r>
      <w:r w:rsidRPr="009732A4">
        <w:rPr>
          <w:b/>
        </w:rPr>
        <w:t xml:space="preserve"> 26. března 2021 </w:t>
      </w:r>
      <w:r w:rsidRPr="009732A4">
        <w:t>předloží OŠMTS protokol doplněný navíc o údaje, které ovlivňují potřebu přímých výdajů, specifika provozu školy či školského zařízení a návrhy konkrétních opatření a postupu k odstranění disproporcí.</w:t>
      </w:r>
    </w:p>
    <w:p w14:paraId="2914674E" w14:textId="77777777" w:rsidR="009732A4" w:rsidRPr="009732A4" w:rsidRDefault="009732A4" w:rsidP="009732A4">
      <w:pPr>
        <w:pStyle w:val="Seznamsodrkami"/>
      </w:pPr>
      <w:r w:rsidRPr="009732A4">
        <w:t>OŠMTS na základě výsledků jednání potvrdí nebo odpovídajícím způsobem upraví původní rozpis přímých výdajů, a to nejdéle do</w:t>
      </w:r>
      <w:r w:rsidRPr="009732A4">
        <w:rPr>
          <w:b/>
        </w:rPr>
        <w:t xml:space="preserve"> 23. dubna 2021.</w:t>
      </w:r>
    </w:p>
    <w:p w14:paraId="0ECBE080" w14:textId="77777777" w:rsidR="009732A4" w:rsidRPr="009732A4" w:rsidRDefault="009732A4" w:rsidP="009732A4">
      <w:pPr>
        <w:pStyle w:val="Seznamsodrkami"/>
        <w:numPr>
          <w:ilvl w:val="0"/>
          <w:numId w:val="0"/>
        </w:numPr>
        <w:ind w:left="568"/>
      </w:pPr>
    </w:p>
    <w:p w14:paraId="3E7034B7" w14:textId="77777777" w:rsidR="009732A4" w:rsidRPr="005C110B" w:rsidRDefault="009732A4" w:rsidP="005C110B">
      <w:pPr>
        <w:rPr>
          <w:rFonts w:ascii="Times New Roman" w:hAnsi="Times New Roman" w:cs="Times New Roman"/>
          <w:b/>
          <w:sz w:val="24"/>
          <w:szCs w:val="24"/>
        </w:rPr>
      </w:pPr>
      <w:r w:rsidRPr="005C110B">
        <w:rPr>
          <w:rFonts w:ascii="Times New Roman" w:hAnsi="Times New Roman" w:cs="Times New Roman"/>
          <w:b/>
          <w:sz w:val="24"/>
          <w:szCs w:val="24"/>
        </w:rPr>
        <w:t>Právnické osoby zřizované krajem</w:t>
      </w:r>
    </w:p>
    <w:p w14:paraId="71A31C61" w14:textId="77777777" w:rsidR="009732A4" w:rsidRPr="009732A4" w:rsidRDefault="009732A4" w:rsidP="003C2542">
      <w:pPr>
        <w:jc w:val="both"/>
        <w:rPr>
          <w:rFonts w:ascii="Times New Roman" w:hAnsi="Times New Roman" w:cs="Times New Roman"/>
          <w:sz w:val="24"/>
          <w:szCs w:val="24"/>
        </w:rPr>
      </w:pPr>
      <w:r w:rsidRPr="009732A4">
        <w:rPr>
          <w:rFonts w:ascii="Times New Roman" w:hAnsi="Times New Roman" w:cs="Times New Roman"/>
          <w:sz w:val="24"/>
          <w:szCs w:val="24"/>
        </w:rPr>
        <w:t>Právnická osoba, která považuje rozpis přímých výdajů podle čl. III a IV směrnice s výjimkou finančních prostředků stanovených ministerstvem podle § 161 odst. 3 písm. a) a b)</w:t>
      </w:r>
      <w:r w:rsidRPr="009732A4">
        <w:rPr>
          <w:rFonts w:ascii="Times New Roman" w:hAnsi="Times New Roman" w:cs="Times New Roman"/>
          <w:b/>
          <w:bCs/>
          <w:sz w:val="24"/>
          <w:szCs w:val="24"/>
        </w:rPr>
        <w:t xml:space="preserve"> </w:t>
      </w:r>
      <w:r w:rsidRPr="009732A4">
        <w:rPr>
          <w:rFonts w:ascii="Times New Roman" w:hAnsi="Times New Roman" w:cs="Times New Roman"/>
          <w:sz w:val="24"/>
          <w:szCs w:val="24"/>
        </w:rPr>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 (blíže viz kap. 7), a to v následujících termínech:</w:t>
      </w:r>
    </w:p>
    <w:p w14:paraId="1984B585" w14:textId="77777777" w:rsidR="009732A4" w:rsidRPr="009732A4" w:rsidRDefault="009732A4" w:rsidP="009732A4">
      <w:pPr>
        <w:pStyle w:val="Seznamsodrkami"/>
      </w:pPr>
      <w:r w:rsidRPr="009732A4">
        <w:t>Právnické osoby zřizované krajem předloží OŠMTS zpracovaný Protokol o projednání rozpisu rozpočtu přímých výdajů na rok 2021 spolu s porovnáním finanční rozvahy</w:t>
      </w:r>
      <w:r w:rsidR="00D33884">
        <w:br/>
      </w:r>
      <w:r w:rsidRPr="009732A4">
        <w:t xml:space="preserve">s rozpisem rozpočtu a návrh na odstranění disproporcí nejdéle do </w:t>
      </w:r>
      <w:r w:rsidRPr="009732A4">
        <w:rPr>
          <w:b/>
        </w:rPr>
        <w:t>26. března 2021.</w:t>
      </w:r>
    </w:p>
    <w:p w14:paraId="13346199" w14:textId="77777777" w:rsidR="009732A4" w:rsidRPr="009732A4" w:rsidRDefault="009732A4" w:rsidP="009732A4">
      <w:pPr>
        <w:pStyle w:val="Seznamsodrkami"/>
      </w:pPr>
      <w:r w:rsidRPr="009732A4">
        <w:t xml:space="preserve">OŠMTS na základě výsledků projednávání původní rozpis přímých výdajů potvrdí nebo odpovídajícím způsobem upraví, a to nejdéle do </w:t>
      </w:r>
      <w:r w:rsidRPr="009732A4">
        <w:rPr>
          <w:b/>
        </w:rPr>
        <w:t>23. dubna 2021.</w:t>
      </w:r>
    </w:p>
    <w:p w14:paraId="5B90D97C" w14:textId="77777777" w:rsidR="009732A4" w:rsidRPr="007513A6" w:rsidRDefault="009732A4" w:rsidP="009732A4">
      <w:pPr>
        <w:pStyle w:val="Seznamsodrkami"/>
        <w:numPr>
          <w:ilvl w:val="0"/>
          <w:numId w:val="0"/>
        </w:numPr>
        <w:ind w:left="568"/>
        <w:rPr>
          <w:strike/>
        </w:rPr>
      </w:pPr>
    </w:p>
    <w:p w14:paraId="5EF45F02" w14:textId="77777777" w:rsidR="00296280" w:rsidRDefault="00296280" w:rsidP="00296280">
      <w:pPr>
        <w:pStyle w:val="Seznamsodrkami"/>
        <w:numPr>
          <w:ilvl w:val="0"/>
          <w:numId w:val="0"/>
        </w:numPr>
        <w:ind w:left="568"/>
      </w:pPr>
    </w:p>
    <w:p w14:paraId="5FEDBE52" w14:textId="77777777" w:rsidR="009432A2" w:rsidRPr="009432A2" w:rsidRDefault="00A03EBA" w:rsidP="009432A2">
      <w:pPr>
        <w:jc w:val="both"/>
        <w:rPr>
          <w:rFonts w:ascii="Times New Roman" w:hAnsi="Times New Roman" w:cs="Times New Roman"/>
          <w:b/>
          <w:sz w:val="24"/>
          <w:szCs w:val="24"/>
        </w:rPr>
      </w:pPr>
      <w:r>
        <w:rPr>
          <w:rFonts w:ascii="Times New Roman" w:hAnsi="Times New Roman" w:cs="Times New Roman"/>
          <w:b/>
          <w:sz w:val="24"/>
          <w:szCs w:val="24"/>
        </w:rPr>
        <w:t>Úpravy</w:t>
      </w:r>
      <w:r w:rsidR="009432A2" w:rsidRPr="009432A2">
        <w:rPr>
          <w:rFonts w:ascii="Times New Roman" w:hAnsi="Times New Roman" w:cs="Times New Roman"/>
          <w:b/>
          <w:sz w:val="24"/>
          <w:szCs w:val="24"/>
        </w:rPr>
        <w:t xml:space="preserve"> rozpočtu prováděné v průběhu roku </w:t>
      </w:r>
    </w:p>
    <w:p w14:paraId="3EAB2D86" w14:textId="77777777" w:rsidR="009432A2" w:rsidRPr="009432A2" w:rsidRDefault="009432A2" w:rsidP="009432A2">
      <w:pPr>
        <w:pStyle w:val="Seznamsodrkami"/>
      </w:pPr>
      <w:r w:rsidRPr="009432A2">
        <w:t>Předpokládaný termín pro předložení podkladů k objektivním specifickým potřebám právnických osob a případným požadavkům na přesuny mezi ukazateli rozpisu rozpočtu</w:t>
      </w:r>
      <w:r>
        <w:t xml:space="preserve">: </w:t>
      </w:r>
      <w:r w:rsidRPr="009432A2">
        <w:rPr>
          <w:b/>
        </w:rPr>
        <w:t>2</w:t>
      </w:r>
      <w:r w:rsidR="005E0DBC">
        <w:rPr>
          <w:b/>
        </w:rPr>
        <w:t>1</w:t>
      </w:r>
      <w:r w:rsidRPr="009432A2">
        <w:rPr>
          <w:b/>
        </w:rPr>
        <w:t>. května 202</w:t>
      </w:r>
      <w:r w:rsidR="009732A4">
        <w:rPr>
          <w:b/>
        </w:rPr>
        <w:t>1</w:t>
      </w:r>
      <w:r>
        <w:rPr>
          <w:b/>
        </w:rPr>
        <w:t xml:space="preserve">. </w:t>
      </w:r>
    </w:p>
    <w:p w14:paraId="47FE506F" w14:textId="77777777" w:rsidR="00866805" w:rsidRDefault="009432A2" w:rsidP="009432A2">
      <w:pPr>
        <w:pStyle w:val="Seznamsodrkami"/>
        <w:rPr>
          <w:b/>
        </w:rPr>
      </w:pPr>
      <w:r>
        <w:t xml:space="preserve">Předpokládaný termín pro </w:t>
      </w:r>
      <w:r w:rsidR="00296280">
        <w:t xml:space="preserve">předložení podkladů provedení </w:t>
      </w:r>
      <w:r w:rsidR="00296280" w:rsidRPr="009432A2">
        <w:rPr>
          <w:b/>
        </w:rPr>
        <w:t>úpravy rozpočtu s novým školním rokem</w:t>
      </w:r>
      <w:r>
        <w:rPr>
          <w:b/>
        </w:rPr>
        <w:t xml:space="preserve">: </w:t>
      </w:r>
      <w:r w:rsidR="00B467AF">
        <w:rPr>
          <w:b/>
        </w:rPr>
        <w:t>3</w:t>
      </w:r>
      <w:r w:rsidR="00296280" w:rsidRPr="00296280">
        <w:rPr>
          <w:b/>
        </w:rPr>
        <w:t>. září 202</w:t>
      </w:r>
      <w:r w:rsidR="00B467AF">
        <w:rPr>
          <w:b/>
        </w:rPr>
        <w:t>1</w:t>
      </w:r>
      <w:r w:rsidR="00296280" w:rsidRPr="00296280">
        <w:rPr>
          <w:b/>
        </w:rPr>
        <w:t>.</w:t>
      </w:r>
    </w:p>
    <w:p w14:paraId="02609B9A" w14:textId="77777777" w:rsidR="009432A2" w:rsidRPr="009432A2" w:rsidRDefault="009432A2" w:rsidP="009432A2">
      <w:pPr>
        <w:pStyle w:val="Seznamsodrkami"/>
      </w:pPr>
      <w:r w:rsidRPr="009432A2">
        <w:lastRenderedPageBreak/>
        <w:t>Předpokládaný termín pro předložení podkladů k objektivním specifickým potřebám právnických osob a případným požadavkům na přesuny mezi ukazateli rozpisu rozpočtu</w:t>
      </w:r>
      <w:r>
        <w:t xml:space="preserve">: </w:t>
      </w:r>
      <w:r>
        <w:rPr>
          <w:b/>
        </w:rPr>
        <w:t>10</w:t>
      </w:r>
      <w:r w:rsidRPr="009432A2">
        <w:rPr>
          <w:b/>
        </w:rPr>
        <w:t xml:space="preserve">. </w:t>
      </w:r>
      <w:r>
        <w:rPr>
          <w:b/>
        </w:rPr>
        <w:t xml:space="preserve">listopadu </w:t>
      </w:r>
      <w:r w:rsidRPr="009432A2">
        <w:rPr>
          <w:b/>
        </w:rPr>
        <w:t>202</w:t>
      </w:r>
      <w:r w:rsidR="00B467AF">
        <w:rPr>
          <w:b/>
        </w:rPr>
        <w:t>1</w:t>
      </w:r>
      <w:r w:rsidR="005E0DBC">
        <w:rPr>
          <w:b/>
        </w:rPr>
        <w:t>.</w:t>
      </w:r>
    </w:p>
    <w:p w14:paraId="4F3E1E4A" w14:textId="77777777" w:rsidR="009432A2" w:rsidRDefault="009432A2" w:rsidP="009432A2">
      <w:pPr>
        <w:pStyle w:val="Seznamsodrkami"/>
        <w:numPr>
          <w:ilvl w:val="0"/>
          <w:numId w:val="0"/>
        </w:numPr>
        <w:ind w:left="568"/>
        <w:rPr>
          <w:b/>
        </w:rPr>
      </w:pPr>
    </w:p>
    <w:p w14:paraId="1D1CD155" w14:textId="77777777" w:rsidR="00CA5028" w:rsidRDefault="00CA5028" w:rsidP="00650DC6">
      <w:pPr>
        <w:jc w:val="both"/>
        <w:rPr>
          <w:rFonts w:ascii="Times New Roman" w:hAnsi="Times New Roman" w:cs="Times New Roman"/>
          <w:sz w:val="24"/>
          <w:szCs w:val="24"/>
        </w:rPr>
      </w:pPr>
      <w:r w:rsidRPr="00CA5028">
        <w:rPr>
          <w:rFonts w:ascii="Times New Roman" w:hAnsi="Times New Roman" w:cs="Times New Roman"/>
          <w:sz w:val="24"/>
          <w:szCs w:val="24"/>
        </w:rPr>
        <w:t xml:space="preserve">Součástí podkladů </w:t>
      </w:r>
      <w:r w:rsidR="001641F7">
        <w:rPr>
          <w:rFonts w:ascii="Times New Roman" w:hAnsi="Times New Roman" w:cs="Times New Roman"/>
          <w:sz w:val="24"/>
          <w:szCs w:val="24"/>
        </w:rPr>
        <w:t xml:space="preserve">při požadavcích na úpravu rozpočtu </w:t>
      </w:r>
      <w:r w:rsidRPr="00CA5028">
        <w:rPr>
          <w:rFonts w:ascii="Times New Roman" w:hAnsi="Times New Roman" w:cs="Times New Roman"/>
          <w:sz w:val="24"/>
          <w:szCs w:val="24"/>
        </w:rPr>
        <w:t>bude porovnání finanční rozvahy s rozpisem přímých výdajů</w:t>
      </w:r>
      <w:r w:rsidR="00D43E27">
        <w:rPr>
          <w:rFonts w:ascii="Times New Roman" w:hAnsi="Times New Roman" w:cs="Times New Roman"/>
          <w:sz w:val="24"/>
          <w:szCs w:val="24"/>
        </w:rPr>
        <w:t>, přehledně zpracované informace o dopadu objektivní specifické potřeby</w:t>
      </w:r>
      <w:r w:rsidR="001641F7">
        <w:rPr>
          <w:rFonts w:ascii="Times New Roman" w:hAnsi="Times New Roman" w:cs="Times New Roman"/>
          <w:sz w:val="24"/>
          <w:szCs w:val="24"/>
        </w:rPr>
        <w:t>, a to zejména</w:t>
      </w:r>
      <w:r w:rsidR="00D43E27">
        <w:rPr>
          <w:rFonts w:ascii="Times New Roman" w:hAnsi="Times New Roman" w:cs="Times New Roman"/>
          <w:sz w:val="24"/>
          <w:szCs w:val="24"/>
        </w:rPr>
        <w:t xml:space="preserve"> do výkazu P1c-01, do výkonových výkazů, do </w:t>
      </w:r>
      <w:proofErr w:type="spellStart"/>
      <w:r w:rsidR="00D43E27">
        <w:rPr>
          <w:rFonts w:ascii="Times New Roman" w:hAnsi="Times New Roman" w:cs="Times New Roman"/>
          <w:sz w:val="24"/>
          <w:szCs w:val="24"/>
        </w:rPr>
        <w:t>PHškoly</w:t>
      </w:r>
      <w:proofErr w:type="spellEnd"/>
      <w:r w:rsidR="00D43E27">
        <w:rPr>
          <w:rFonts w:ascii="Times New Roman" w:hAnsi="Times New Roman" w:cs="Times New Roman"/>
          <w:sz w:val="24"/>
          <w:szCs w:val="24"/>
        </w:rPr>
        <w:t xml:space="preserve"> s</w:t>
      </w:r>
      <w:r w:rsidR="00D33884">
        <w:rPr>
          <w:rFonts w:ascii="Times New Roman" w:hAnsi="Times New Roman" w:cs="Times New Roman"/>
          <w:sz w:val="24"/>
          <w:szCs w:val="24"/>
        </w:rPr>
        <w:t> </w:t>
      </w:r>
      <w:r w:rsidR="00D43E27">
        <w:rPr>
          <w:rFonts w:ascii="Times New Roman" w:hAnsi="Times New Roman" w:cs="Times New Roman"/>
          <w:sz w:val="24"/>
          <w:szCs w:val="24"/>
        </w:rPr>
        <w:t>vazbou</w:t>
      </w:r>
      <w:r w:rsidR="00D33884">
        <w:rPr>
          <w:rFonts w:ascii="Times New Roman" w:hAnsi="Times New Roman" w:cs="Times New Roman"/>
          <w:sz w:val="24"/>
          <w:szCs w:val="24"/>
        </w:rPr>
        <w:br/>
      </w:r>
      <w:r w:rsidR="00D43E27">
        <w:rPr>
          <w:rFonts w:ascii="Times New Roman" w:hAnsi="Times New Roman" w:cs="Times New Roman"/>
          <w:sz w:val="24"/>
          <w:szCs w:val="24"/>
        </w:rPr>
        <w:t xml:space="preserve">na </w:t>
      </w:r>
      <w:proofErr w:type="spellStart"/>
      <w:r w:rsidR="00D43E27">
        <w:rPr>
          <w:rFonts w:ascii="Times New Roman" w:hAnsi="Times New Roman" w:cs="Times New Roman"/>
          <w:sz w:val="24"/>
          <w:szCs w:val="24"/>
        </w:rPr>
        <w:t>PHmax</w:t>
      </w:r>
      <w:proofErr w:type="spellEnd"/>
      <w:r w:rsidR="00D43E27">
        <w:rPr>
          <w:rFonts w:ascii="Times New Roman" w:hAnsi="Times New Roman" w:cs="Times New Roman"/>
          <w:sz w:val="24"/>
          <w:szCs w:val="24"/>
        </w:rPr>
        <w:t xml:space="preserve">, </w:t>
      </w:r>
      <w:r w:rsidR="001641F7">
        <w:rPr>
          <w:rFonts w:ascii="Times New Roman" w:hAnsi="Times New Roman" w:cs="Times New Roman"/>
          <w:sz w:val="24"/>
          <w:szCs w:val="24"/>
        </w:rPr>
        <w:t>do</w:t>
      </w:r>
      <w:r w:rsidR="00D43E27">
        <w:rPr>
          <w:rFonts w:ascii="Times New Roman" w:hAnsi="Times New Roman" w:cs="Times New Roman"/>
          <w:sz w:val="24"/>
          <w:szCs w:val="24"/>
        </w:rPr>
        <w:t xml:space="preserve"> OON a další</w:t>
      </w:r>
      <w:r w:rsidR="001641F7">
        <w:rPr>
          <w:rFonts w:ascii="Times New Roman" w:hAnsi="Times New Roman" w:cs="Times New Roman"/>
          <w:sz w:val="24"/>
          <w:szCs w:val="24"/>
        </w:rPr>
        <w:t>.</w:t>
      </w:r>
      <w:r w:rsidR="00D43E27">
        <w:rPr>
          <w:rFonts w:ascii="Times New Roman" w:hAnsi="Times New Roman" w:cs="Times New Roman"/>
          <w:sz w:val="24"/>
          <w:szCs w:val="24"/>
        </w:rPr>
        <w:t xml:space="preserve"> </w:t>
      </w:r>
      <w:r w:rsidR="001641F7">
        <w:rPr>
          <w:rFonts w:ascii="Times New Roman" w:hAnsi="Times New Roman" w:cs="Times New Roman"/>
          <w:sz w:val="24"/>
          <w:szCs w:val="24"/>
        </w:rPr>
        <w:t>A</w:t>
      </w:r>
      <w:r w:rsidR="00D43E27">
        <w:rPr>
          <w:rFonts w:ascii="Times New Roman" w:hAnsi="Times New Roman" w:cs="Times New Roman"/>
          <w:sz w:val="24"/>
          <w:szCs w:val="24"/>
        </w:rPr>
        <w:t xml:space="preserve"> to v případě, že se jedná o údaje</w:t>
      </w:r>
      <w:r w:rsidR="001641F7">
        <w:rPr>
          <w:rFonts w:ascii="Times New Roman" w:hAnsi="Times New Roman" w:cs="Times New Roman"/>
          <w:sz w:val="24"/>
          <w:szCs w:val="24"/>
        </w:rPr>
        <w:t xml:space="preserve"> relevantní pro popis dopadu objektivní potřeby do rozpočtu právnické osoby</w:t>
      </w:r>
      <w:r w:rsidR="00D43E27">
        <w:rPr>
          <w:rFonts w:ascii="Times New Roman" w:hAnsi="Times New Roman" w:cs="Times New Roman"/>
          <w:sz w:val="24"/>
          <w:szCs w:val="24"/>
        </w:rPr>
        <w:t xml:space="preserve">. </w:t>
      </w:r>
      <w:r w:rsidRPr="00CA5028">
        <w:rPr>
          <w:rFonts w:ascii="Times New Roman" w:hAnsi="Times New Roman" w:cs="Times New Roman"/>
          <w:sz w:val="24"/>
          <w:szCs w:val="24"/>
        </w:rPr>
        <w:t xml:space="preserve"> </w:t>
      </w:r>
    </w:p>
    <w:p w14:paraId="75976931" w14:textId="77777777" w:rsidR="007B573B" w:rsidRPr="00763724" w:rsidRDefault="007B573B" w:rsidP="00190359">
      <w:pPr>
        <w:jc w:val="both"/>
        <w:rPr>
          <w:rFonts w:ascii="Times New Roman" w:hAnsi="Times New Roman" w:cs="Times New Roman"/>
          <w:sz w:val="24"/>
          <w:szCs w:val="24"/>
        </w:rPr>
      </w:pPr>
      <w:r w:rsidRPr="00763724">
        <w:rPr>
          <w:rFonts w:ascii="Times New Roman" w:hAnsi="Times New Roman" w:cs="Times New Roman"/>
          <w:sz w:val="24"/>
          <w:szCs w:val="24"/>
        </w:rPr>
        <w:t xml:space="preserve">Krajskému úřadu předloží ORP </w:t>
      </w:r>
      <w:r>
        <w:rPr>
          <w:rFonts w:ascii="Times New Roman" w:hAnsi="Times New Roman" w:cs="Times New Roman"/>
          <w:sz w:val="24"/>
          <w:szCs w:val="24"/>
        </w:rPr>
        <w:t xml:space="preserve">v souladu se Směrnicí </w:t>
      </w:r>
      <w:r w:rsidRPr="00763724">
        <w:rPr>
          <w:rFonts w:ascii="Times New Roman" w:hAnsi="Times New Roman" w:cs="Times New Roman"/>
          <w:sz w:val="24"/>
          <w:szCs w:val="24"/>
        </w:rPr>
        <w:t>doplňující údaje o jednotlivých právnických osobách, které obsahují:</w:t>
      </w:r>
    </w:p>
    <w:p w14:paraId="4CAB694C" w14:textId="77777777" w:rsidR="007B573B" w:rsidRPr="004C5C7D" w:rsidRDefault="007B573B" w:rsidP="007B573B">
      <w:pPr>
        <w:pStyle w:val="Seznamsodrkami"/>
      </w:pPr>
      <w:r w:rsidRPr="004C5C7D">
        <w:t>strukturu dané právnické osoby s uvedením výkonů v jednotlivých školách a školských zařízeních, jejichž činnost tato právnická osoba vykonává,</w:t>
      </w:r>
    </w:p>
    <w:p w14:paraId="66F3630C" w14:textId="77777777" w:rsidR="007B573B" w:rsidRPr="004C5C7D" w:rsidRDefault="007B573B" w:rsidP="007B573B">
      <w:pPr>
        <w:pStyle w:val="Seznamsodrkami"/>
      </w:pPr>
      <w:r w:rsidRPr="004C5C7D">
        <w:t>výkony stávajícího školního roku a výhled změn výkonů od následujícího školního roku</w:t>
      </w:r>
      <w:r>
        <w:t>,</w:t>
      </w:r>
    </w:p>
    <w:p w14:paraId="222BA66B" w14:textId="77777777" w:rsidR="007B573B" w:rsidRPr="004C5C7D" w:rsidRDefault="007B573B" w:rsidP="007B573B">
      <w:pPr>
        <w:pStyle w:val="Seznamsodrkami"/>
      </w:pPr>
      <w:r w:rsidRPr="004C5C7D">
        <w:t>další případná důležitá specifika provozu právnické osoby, například otázky zajištění některých činností službou či vlastními zaměstnanci.</w:t>
      </w:r>
    </w:p>
    <w:p w14:paraId="7F9C0F4A" w14:textId="77777777" w:rsidR="00650DC6" w:rsidRPr="00CA5028" w:rsidRDefault="00650DC6">
      <w:pPr>
        <w:rPr>
          <w:rFonts w:ascii="Times New Roman" w:hAnsi="Times New Roman" w:cs="Times New Roman"/>
          <w:sz w:val="24"/>
          <w:szCs w:val="24"/>
        </w:rPr>
      </w:pPr>
    </w:p>
    <w:p w14:paraId="21038178" w14:textId="77777777" w:rsidR="00657912" w:rsidRDefault="00650DC6" w:rsidP="00F4530B">
      <w:pPr>
        <w:jc w:val="both"/>
        <w:rPr>
          <w:rFonts w:ascii="Times New Roman" w:hAnsi="Times New Roman" w:cs="Times New Roman"/>
          <w:b/>
          <w:sz w:val="24"/>
          <w:szCs w:val="24"/>
        </w:rPr>
      </w:pPr>
      <w:r w:rsidRPr="007B573B">
        <w:rPr>
          <w:rFonts w:ascii="Times New Roman" w:hAnsi="Times New Roman" w:cs="Times New Roman"/>
          <w:b/>
          <w:sz w:val="24"/>
          <w:szCs w:val="24"/>
        </w:rPr>
        <w:t>Závěr</w:t>
      </w:r>
      <w:r w:rsidR="00376A48">
        <w:rPr>
          <w:rFonts w:ascii="Times New Roman" w:hAnsi="Times New Roman" w:cs="Times New Roman"/>
          <w:b/>
          <w:sz w:val="24"/>
          <w:szCs w:val="24"/>
        </w:rPr>
        <w:t>:</w:t>
      </w:r>
    </w:p>
    <w:p w14:paraId="1E8AAE8A" w14:textId="77777777" w:rsidR="00901AC0" w:rsidRDefault="00650DC6" w:rsidP="00F4530B">
      <w:pPr>
        <w:jc w:val="both"/>
        <w:rPr>
          <w:rFonts w:ascii="Times New Roman" w:hAnsi="Times New Roman" w:cs="Times New Roman"/>
          <w:sz w:val="24"/>
          <w:szCs w:val="24"/>
        </w:rPr>
      </w:pPr>
      <w:r w:rsidRPr="007545CB">
        <w:rPr>
          <w:rFonts w:ascii="Times New Roman" w:hAnsi="Times New Roman" w:cs="Times New Roman"/>
          <w:sz w:val="24"/>
          <w:szCs w:val="24"/>
        </w:rPr>
        <w:t>Právnické osoby obdržel</w:t>
      </w:r>
      <w:r w:rsidR="00197AED">
        <w:rPr>
          <w:rFonts w:ascii="Times New Roman" w:hAnsi="Times New Roman" w:cs="Times New Roman"/>
          <w:sz w:val="24"/>
          <w:szCs w:val="24"/>
        </w:rPr>
        <w:t>y</w:t>
      </w:r>
      <w:r w:rsidRPr="007545CB">
        <w:rPr>
          <w:rFonts w:ascii="Times New Roman" w:hAnsi="Times New Roman" w:cs="Times New Roman"/>
          <w:sz w:val="24"/>
          <w:szCs w:val="24"/>
        </w:rPr>
        <w:t xml:space="preserve"> jeden rozpočet, jehož výše se nebude do konce kalendářního roku zásadně měnit. Pouze ve výše definovaných případech</w:t>
      </w:r>
      <w:r w:rsidR="00493BEE">
        <w:rPr>
          <w:rFonts w:ascii="Times New Roman" w:hAnsi="Times New Roman" w:cs="Times New Roman"/>
          <w:sz w:val="24"/>
          <w:szCs w:val="24"/>
        </w:rPr>
        <w:t xml:space="preserve"> (</w:t>
      </w:r>
      <w:r w:rsidR="00493BEE" w:rsidRPr="001C4784">
        <w:rPr>
          <w:rFonts w:ascii="Times New Roman" w:hAnsi="Times New Roman" w:cs="Times New Roman"/>
          <w:b/>
          <w:sz w:val="24"/>
          <w:szCs w:val="24"/>
        </w:rPr>
        <w:t>objektivní</w:t>
      </w:r>
      <w:r w:rsidR="00493BEE">
        <w:rPr>
          <w:rFonts w:ascii="Times New Roman" w:hAnsi="Times New Roman" w:cs="Times New Roman"/>
          <w:sz w:val="24"/>
          <w:szCs w:val="24"/>
        </w:rPr>
        <w:t xml:space="preserve"> změny, které mají </w:t>
      </w:r>
      <w:r w:rsidR="00493BEE" w:rsidRPr="001C4784">
        <w:rPr>
          <w:rFonts w:ascii="Times New Roman" w:hAnsi="Times New Roman" w:cs="Times New Roman"/>
          <w:b/>
          <w:sz w:val="24"/>
          <w:szCs w:val="24"/>
        </w:rPr>
        <w:t>zásadní dopad</w:t>
      </w:r>
      <w:r w:rsidR="00493BEE">
        <w:rPr>
          <w:rFonts w:ascii="Times New Roman" w:hAnsi="Times New Roman" w:cs="Times New Roman"/>
          <w:sz w:val="24"/>
          <w:szCs w:val="24"/>
        </w:rPr>
        <w:t xml:space="preserve"> na celý rozpočet právnické osoby)</w:t>
      </w:r>
      <w:r w:rsidRPr="007545CB">
        <w:rPr>
          <w:rFonts w:ascii="Times New Roman" w:hAnsi="Times New Roman" w:cs="Times New Roman"/>
          <w:sz w:val="24"/>
          <w:szCs w:val="24"/>
        </w:rPr>
        <w:t xml:space="preserve">. Proto je vhodné </w:t>
      </w:r>
      <w:r w:rsidR="00F4530B">
        <w:rPr>
          <w:rFonts w:ascii="Times New Roman" w:hAnsi="Times New Roman" w:cs="Times New Roman"/>
          <w:sz w:val="24"/>
          <w:szCs w:val="24"/>
        </w:rPr>
        <w:t>kalkulovat průběžně</w:t>
      </w:r>
      <w:r w:rsidRPr="007545CB">
        <w:rPr>
          <w:rFonts w:ascii="Times New Roman" w:hAnsi="Times New Roman" w:cs="Times New Roman"/>
          <w:sz w:val="24"/>
          <w:szCs w:val="24"/>
        </w:rPr>
        <w:t xml:space="preserve"> se všemi prostředky na celý kalendářní rok, týká se například</w:t>
      </w:r>
      <w:r w:rsidR="00EE797E" w:rsidRPr="007545CB">
        <w:rPr>
          <w:rFonts w:ascii="Times New Roman" w:hAnsi="Times New Roman" w:cs="Times New Roman"/>
          <w:sz w:val="24"/>
          <w:szCs w:val="24"/>
        </w:rPr>
        <w:t xml:space="preserve"> celoroční potřeby </w:t>
      </w:r>
      <w:r w:rsidRPr="007545CB">
        <w:rPr>
          <w:rFonts w:ascii="Times New Roman" w:hAnsi="Times New Roman" w:cs="Times New Roman"/>
          <w:sz w:val="24"/>
          <w:szCs w:val="24"/>
        </w:rPr>
        <w:t xml:space="preserve">ostatních neinvestičních nákladů </w:t>
      </w:r>
      <w:r w:rsidR="00EE797E" w:rsidRPr="007545CB">
        <w:rPr>
          <w:rFonts w:ascii="Times New Roman" w:hAnsi="Times New Roman" w:cs="Times New Roman"/>
          <w:sz w:val="24"/>
          <w:szCs w:val="24"/>
        </w:rPr>
        <w:t>ve vzta</w:t>
      </w:r>
      <w:r w:rsidR="00EE797E" w:rsidRPr="00197AED">
        <w:rPr>
          <w:rFonts w:ascii="Times New Roman" w:hAnsi="Times New Roman" w:cs="Times New Roman"/>
          <w:sz w:val="24"/>
          <w:szCs w:val="24"/>
        </w:rPr>
        <w:t>hu k vyplácením náhrad za nemoc</w:t>
      </w:r>
      <w:r w:rsidR="00EC216F" w:rsidRPr="00197AED">
        <w:rPr>
          <w:rFonts w:ascii="Times New Roman" w:hAnsi="Times New Roman" w:cs="Times New Roman"/>
          <w:sz w:val="24"/>
          <w:szCs w:val="24"/>
        </w:rPr>
        <w:t xml:space="preserve"> nebo nákladů na proplacení dovolené</w:t>
      </w:r>
      <w:r w:rsidR="00D33884">
        <w:rPr>
          <w:rFonts w:ascii="Times New Roman" w:hAnsi="Times New Roman" w:cs="Times New Roman"/>
          <w:sz w:val="24"/>
          <w:szCs w:val="24"/>
        </w:rPr>
        <w:br/>
      </w:r>
      <w:r w:rsidR="00EC216F" w:rsidRPr="00197AED">
        <w:rPr>
          <w:rFonts w:ascii="Times New Roman" w:hAnsi="Times New Roman" w:cs="Times New Roman"/>
          <w:sz w:val="24"/>
          <w:szCs w:val="24"/>
        </w:rPr>
        <w:t>po mateřské dovolené</w:t>
      </w:r>
      <w:r w:rsidR="00EE797E" w:rsidRPr="007545CB">
        <w:rPr>
          <w:rFonts w:ascii="Times New Roman" w:hAnsi="Times New Roman" w:cs="Times New Roman"/>
          <w:sz w:val="24"/>
          <w:szCs w:val="24"/>
        </w:rPr>
        <w:t xml:space="preserve">. </w:t>
      </w:r>
    </w:p>
    <w:p w14:paraId="4956A4B9" w14:textId="77777777" w:rsidR="00CB11CC" w:rsidRPr="0031167A" w:rsidRDefault="00CB11CC" w:rsidP="00F4530B">
      <w:pPr>
        <w:jc w:val="both"/>
        <w:rPr>
          <w:rFonts w:ascii="Times New Roman" w:hAnsi="Times New Roman" w:cs="Times New Roman"/>
          <w:i/>
          <w:sz w:val="24"/>
          <w:szCs w:val="24"/>
        </w:rPr>
      </w:pPr>
    </w:p>
    <w:sectPr w:rsidR="00CB11CC" w:rsidRPr="0031167A" w:rsidSect="00D22344">
      <w:headerReference w:type="even" r:id="rId9"/>
      <w:headerReference w:type="default" r:id="rId10"/>
      <w:footerReference w:type="even" r:id="rId11"/>
      <w:footerReference w:type="default" r:id="rId12"/>
      <w:headerReference w:type="first" r:id="rId13"/>
      <w:footerReference w:type="firs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9D33" w14:textId="77777777" w:rsidR="006347A3" w:rsidRDefault="006347A3" w:rsidP="00734202">
      <w:pPr>
        <w:spacing w:after="0" w:line="240" w:lineRule="auto"/>
      </w:pPr>
      <w:r>
        <w:separator/>
      </w:r>
    </w:p>
  </w:endnote>
  <w:endnote w:type="continuationSeparator" w:id="0">
    <w:p w14:paraId="0D17CAAE" w14:textId="77777777" w:rsidR="006347A3" w:rsidRDefault="006347A3" w:rsidP="0073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66CC" w14:textId="77777777" w:rsidR="0041778E" w:rsidRDefault="004177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36259"/>
      <w:docPartObj>
        <w:docPartGallery w:val="Page Numbers (Bottom of Page)"/>
        <w:docPartUnique/>
      </w:docPartObj>
    </w:sdtPr>
    <w:sdtEndPr/>
    <w:sdtContent>
      <w:p w14:paraId="5076D081" w14:textId="77777777" w:rsidR="00694FF3" w:rsidRDefault="00694FF3">
        <w:pPr>
          <w:pStyle w:val="Zpat"/>
          <w:jc w:val="right"/>
        </w:pPr>
        <w:r w:rsidRPr="00694FF3">
          <w:rPr>
            <w:rFonts w:ascii="Times New Roman" w:hAnsi="Times New Roman" w:cs="Times New Roman"/>
          </w:rPr>
          <w:fldChar w:fldCharType="begin"/>
        </w:r>
        <w:r w:rsidRPr="00694FF3">
          <w:rPr>
            <w:rFonts w:ascii="Times New Roman" w:hAnsi="Times New Roman" w:cs="Times New Roman"/>
          </w:rPr>
          <w:instrText>PAGE   \* MERGEFORMAT</w:instrText>
        </w:r>
        <w:r w:rsidRPr="00694FF3">
          <w:rPr>
            <w:rFonts w:ascii="Times New Roman" w:hAnsi="Times New Roman" w:cs="Times New Roman"/>
          </w:rPr>
          <w:fldChar w:fldCharType="separate"/>
        </w:r>
        <w:r w:rsidR="00D33884">
          <w:rPr>
            <w:rFonts w:ascii="Times New Roman" w:hAnsi="Times New Roman" w:cs="Times New Roman"/>
            <w:noProof/>
          </w:rPr>
          <w:t>8</w:t>
        </w:r>
        <w:r w:rsidRPr="00694FF3">
          <w:rPr>
            <w:rFonts w:ascii="Times New Roman" w:hAnsi="Times New Roman" w:cs="Times New Roman"/>
          </w:rPr>
          <w:fldChar w:fldCharType="end"/>
        </w:r>
      </w:p>
    </w:sdtContent>
  </w:sdt>
  <w:p w14:paraId="7929C67E" w14:textId="77777777" w:rsidR="0041778E" w:rsidRDefault="004177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8051" w14:textId="77777777" w:rsidR="00590701" w:rsidRPr="00590701" w:rsidRDefault="00590701" w:rsidP="00590701">
    <w:pPr>
      <w:pStyle w:val="Zpat"/>
      <w:jc w:val="right"/>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16B7" w14:textId="77777777" w:rsidR="006347A3" w:rsidRDefault="006347A3" w:rsidP="00734202">
      <w:pPr>
        <w:spacing w:after="0" w:line="240" w:lineRule="auto"/>
      </w:pPr>
      <w:r>
        <w:separator/>
      </w:r>
    </w:p>
  </w:footnote>
  <w:footnote w:type="continuationSeparator" w:id="0">
    <w:p w14:paraId="720EE521" w14:textId="77777777" w:rsidR="006347A3" w:rsidRDefault="006347A3" w:rsidP="00734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4590" w14:textId="77777777" w:rsidR="0041778E" w:rsidRDefault="004177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678" w14:textId="77777777" w:rsidR="000F4914" w:rsidRDefault="000F4914" w:rsidP="000F4914">
    <w:pPr>
      <w:jc w:val="right"/>
      <w:rPr>
        <w:rFonts w:ascii="Times New Roman" w:hAnsi="Times New Roman" w:cs="Times New Roman"/>
        <w:i/>
        <w:sz w:val="20"/>
        <w:szCs w:val="24"/>
      </w:rPr>
    </w:pPr>
    <w:r w:rsidRPr="000F4914">
      <w:rPr>
        <w:rFonts w:ascii="Times New Roman" w:hAnsi="Times New Roman" w:cs="Times New Roman"/>
        <w:i/>
        <w:sz w:val="20"/>
        <w:szCs w:val="24"/>
      </w:rPr>
      <w:t>Informace k rozpisu rozpočtu přímých nákladů na vzdělávání v roce 2021</w:t>
    </w:r>
  </w:p>
  <w:p w14:paraId="79ADBC94" w14:textId="77777777" w:rsidR="000F4914" w:rsidRPr="000F4914" w:rsidRDefault="000F4914" w:rsidP="000F4914">
    <w:pPr>
      <w:jc w:val="right"/>
      <w:rPr>
        <w:rFonts w:ascii="Times New Roman" w:hAnsi="Times New Roman" w:cs="Times New Roman"/>
        <w:i/>
        <w:sz w:val="20"/>
        <w:szCs w:val="24"/>
      </w:rPr>
    </w:pPr>
    <w:r>
      <w:rPr>
        <w:rFonts w:ascii="Times New Roman" w:hAnsi="Times New Roman" w:cs="Times New Roman"/>
        <w:i/>
        <w:sz w:val="20"/>
        <w:szCs w:val="24"/>
      </w:rPr>
      <w:t xml:space="preserve">Č.j. </w:t>
    </w:r>
    <w:r w:rsidR="00CA45B6" w:rsidRPr="00CA45B6">
      <w:rPr>
        <w:rFonts w:ascii="Times New Roman" w:hAnsi="Times New Roman" w:cs="Times New Roman"/>
        <w:i/>
        <w:sz w:val="20"/>
        <w:szCs w:val="24"/>
      </w:rPr>
      <w:t>KULK  16596/2021</w:t>
    </w:r>
  </w:p>
  <w:p w14:paraId="19286271" w14:textId="77777777" w:rsidR="000F4914" w:rsidRDefault="000F49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30FB" w14:textId="77777777" w:rsidR="00DB58D0" w:rsidRDefault="00DB58D0" w:rsidP="00DB58D0">
    <w:pPr>
      <w:pStyle w:val="Zhlav"/>
    </w:pPr>
    <w:r>
      <w:rPr>
        <w:noProof/>
        <w:lang w:eastAsia="cs-CZ"/>
      </w:rPr>
      <w:drawing>
        <wp:anchor distT="0" distB="0" distL="114300" distR="114300" simplePos="0" relativeHeight="251662336" behindDoc="1" locked="0" layoutInCell="1" allowOverlap="1" wp14:anchorId="4EB14EDB" wp14:editId="032B079F">
          <wp:simplePos x="0" y="0"/>
          <wp:positionH relativeFrom="margin">
            <wp:align>left</wp:align>
          </wp:positionH>
          <wp:positionV relativeFrom="paragraph">
            <wp:posOffset>12065</wp:posOffset>
          </wp:positionV>
          <wp:extent cx="4560570" cy="208280"/>
          <wp:effectExtent l="0" t="0" r="0" b="1270"/>
          <wp:wrapNone/>
          <wp:docPr id="15" name="obrázek 1" descr="sedy pruh 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y pruh 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0570" cy="208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61312" behindDoc="0" locked="1" layoutInCell="1" allowOverlap="1" wp14:anchorId="24D00CFF" wp14:editId="5C8F48E3">
              <wp:simplePos x="0" y="0"/>
              <wp:positionH relativeFrom="column">
                <wp:posOffset>689610</wp:posOffset>
              </wp:positionH>
              <wp:positionV relativeFrom="paragraph">
                <wp:posOffset>250190</wp:posOffset>
              </wp:positionV>
              <wp:extent cx="3857625" cy="278765"/>
              <wp:effectExtent l="0" t="0" r="0" b="6985"/>
              <wp:wrapTight wrapText="bothSides">
                <wp:wrapPolygon edited="0">
                  <wp:start x="533" y="0"/>
                  <wp:lineTo x="533" y="20665"/>
                  <wp:lineTo x="21227" y="20665"/>
                  <wp:lineTo x="21227" y="0"/>
                  <wp:lineTo x="533"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8591" w14:textId="77777777" w:rsidR="00DB58D0" w:rsidRDefault="00DB58D0" w:rsidP="00DB58D0">
                          <w:r w:rsidRPr="003C5696">
                            <w:rPr>
                              <w:rFonts w:ascii="Arial Narrow" w:hAnsi="Arial Narrow"/>
                              <w:b/>
                              <w:color w:val="4D4D4D"/>
                            </w:rPr>
                            <w:t>odbor školství, mládeže, tělovýchovy a sportu</w:t>
                          </w:r>
                        </w:p>
                      </w:txbxContent>
                    </wps:txbx>
                    <wps:bodyPr rot="0" vert="horz" wrap="square" lIns="14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9C6B4" id="_x0000_t202" coordsize="21600,21600" o:spt="202" path="m,l,21600r21600,l21600,xe">
              <v:stroke joinstyle="miter"/>
              <v:path gradientshapeok="t" o:connecttype="rect"/>
            </v:shapetype>
            <v:shape id="Text Box 27" o:spid="_x0000_s1026" type="#_x0000_t202" style="position:absolute;margin-left:54.3pt;margin-top:19.7pt;width:303.7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" filled="f" stroked="f">
              <v:textbox inset="4mm,0">
                <w:txbxContent>
                  <w:p w:rsidR="00DB58D0" w:rsidRDefault="00DB58D0" w:rsidP="00DB58D0">
                    <w:r w:rsidRPr="003C5696">
                      <w:rPr>
                        <w:rFonts w:ascii="Arial Narrow" w:hAnsi="Arial Narrow"/>
                        <w:b/>
                        <w:color w:val="4D4D4D"/>
                      </w:rPr>
                      <w:t>odbor školství, mládeže, tělovýchovy a sportu</w:t>
                    </w:r>
                  </w:p>
                </w:txbxContent>
              </v:textbox>
              <w10:wrap type="tight"/>
              <w10:anchorlock/>
            </v:shape>
          </w:pict>
        </mc:Fallback>
      </mc:AlternateContent>
    </w:r>
    <w:r>
      <w:rPr>
        <w:noProof/>
        <w:lang w:eastAsia="cs-CZ"/>
      </w:rPr>
      <mc:AlternateContent>
        <mc:Choice Requires="wps">
          <w:drawing>
            <wp:anchor distT="0" distB="0" distL="114300" distR="114300" simplePos="0" relativeHeight="251660288" behindDoc="0" locked="1" layoutInCell="1" allowOverlap="1" wp14:anchorId="7FEC0A6C" wp14:editId="1D58C8E6">
              <wp:simplePos x="0" y="0"/>
              <wp:positionH relativeFrom="column">
                <wp:posOffset>685800</wp:posOffset>
              </wp:positionH>
              <wp:positionV relativeFrom="paragraph">
                <wp:posOffset>17145</wp:posOffset>
              </wp:positionV>
              <wp:extent cx="3384550" cy="228600"/>
              <wp:effectExtent l="0" t="0" r="0" b="1905"/>
              <wp:wrapTight wrapText="bothSides">
                <wp:wrapPolygon edited="0">
                  <wp:start x="0" y="0"/>
                  <wp:lineTo x="21600" y="0"/>
                  <wp:lineTo x="21600" y="21600"/>
                  <wp:lineTo x="0" y="21600"/>
                  <wp:lineTo x="0" y="0"/>
                </wp:wrapPolygon>
              </wp:wrapTight>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B25BA" w14:textId="77777777" w:rsidR="00DB58D0" w:rsidRPr="008B3579" w:rsidRDefault="00DB58D0" w:rsidP="00DB58D0">
                          <w:pPr>
                            <w:rPr>
                              <w:b/>
                              <w:color w:val="4D4D4D"/>
                            </w:rPr>
                          </w:pPr>
                          <w:r w:rsidRPr="008B3579">
                            <w:rPr>
                              <w:b/>
                              <w:color w:val="4D4D4D"/>
                            </w:rPr>
                            <w:t>Krajský úřad Libereckého kraje</w:t>
                          </w:r>
                        </w:p>
                        <w:p w14:paraId="3C032D7B" w14:textId="77777777" w:rsidR="00DB58D0" w:rsidRPr="003505C3" w:rsidRDefault="00DB58D0" w:rsidP="00DB58D0">
                          <w:pPr>
                            <w:rPr>
                              <w:rFonts w:ascii="Arial Narrow" w:hAnsi="Arial Narrow"/>
                              <w:b/>
                              <w:color w:val="4D4D4D"/>
                              <w:sz w:val="18"/>
                              <w:szCs w:val="18"/>
                            </w:rPr>
                          </w:pPr>
                        </w:p>
                      </w:txbxContent>
                    </wps:txbx>
                    <wps:bodyPr rot="0" vert="horz" wrap="square" lIns="14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A3E8" id="Text Box 26" o:spid="_x0000_s1027" type="#_x0000_t202" style="position:absolute;margin-left:54pt;margin-top:1.35pt;width:26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" filled="f" stroked="f">
              <v:textbox inset="4mm,0">
                <w:txbxContent>
                  <w:p w:rsidR="00DB58D0" w:rsidRPr="008B3579" w:rsidRDefault="00DB58D0" w:rsidP="00DB58D0">
                    <w:pPr>
                      <w:rPr>
                        <w:b/>
                        <w:color w:val="4D4D4D"/>
                      </w:rPr>
                    </w:pPr>
                    <w:r w:rsidRPr="008B3579">
                      <w:rPr>
                        <w:b/>
                        <w:color w:val="4D4D4D"/>
                      </w:rPr>
                      <w:t>Krajský úřad Libereckého kraje</w:t>
                    </w:r>
                  </w:p>
                  <w:p w:rsidR="00DB58D0" w:rsidRPr="003505C3" w:rsidRDefault="00DB58D0" w:rsidP="00DB58D0">
                    <w:pPr>
                      <w:rPr>
                        <w:rFonts w:ascii="Arial Narrow" w:hAnsi="Arial Narrow"/>
                        <w:b/>
                        <w:color w:val="4D4D4D"/>
                        <w:sz w:val="18"/>
                        <w:szCs w:val="18"/>
                      </w:rPr>
                    </w:pPr>
                  </w:p>
                </w:txbxContent>
              </v:textbox>
              <w10:wrap type="tight"/>
              <w10:anchorlock/>
            </v:shape>
          </w:pict>
        </mc:Fallback>
      </mc:AlternateContent>
    </w:r>
    <w:r>
      <w:rPr>
        <w:noProof/>
        <w:lang w:eastAsia="cs-CZ"/>
      </w:rPr>
      <w:drawing>
        <wp:anchor distT="0" distB="0" distL="114300" distR="114300" simplePos="0" relativeHeight="251659264" behindDoc="0" locked="1" layoutInCell="1" allowOverlap="1" wp14:anchorId="721FD62D" wp14:editId="4A686625">
          <wp:simplePos x="0" y="0"/>
          <wp:positionH relativeFrom="column">
            <wp:posOffset>4800600</wp:posOffset>
          </wp:positionH>
          <wp:positionV relativeFrom="paragraph">
            <wp:posOffset>17145</wp:posOffset>
          </wp:positionV>
          <wp:extent cx="1289050" cy="507365"/>
          <wp:effectExtent l="0" t="0" r="0" b="0"/>
          <wp:wrapNone/>
          <wp:docPr id="16" name="obrázek 25" descr="Logo_bar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arev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CE9F2" w14:textId="77777777" w:rsidR="00DB58D0" w:rsidRDefault="00DB58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244"/>
    <w:multiLevelType w:val="hybridMultilevel"/>
    <w:tmpl w:val="1A3CB46A"/>
    <w:lvl w:ilvl="0" w:tplc="4B1CC7A2">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0D2CAD"/>
    <w:multiLevelType w:val="hybridMultilevel"/>
    <w:tmpl w:val="27B4A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78311F"/>
    <w:multiLevelType w:val="hybridMultilevel"/>
    <w:tmpl w:val="31981678"/>
    <w:lvl w:ilvl="0" w:tplc="2EAE3276">
      <w:start w:val="1"/>
      <w:numFmt w:val="decimal"/>
      <w:lvlText w:val="%1."/>
      <w:lvlJc w:val="left"/>
      <w:pPr>
        <w:tabs>
          <w:tab w:val="num" w:pos="643"/>
        </w:tabs>
        <w:ind w:left="643" w:hanging="360"/>
      </w:pPr>
      <w:rPr>
        <w:rFonts w:hint="default"/>
      </w:rPr>
    </w:lvl>
    <w:lvl w:ilvl="1" w:tplc="9FB2F37A">
      <w:numFmt w:val="bullet"/>
      <w:lvlText w:val="-"/>
      <w:lvlJc w:val="left"/>
      <w:pPr>
        <w:ind w:left="1378" w:hanging="375"/>
      </w:pPr>
      <w:rPr>
        <w:rFonts w:ascii="Times New Roman" w:eastAsia="Times New Roman" w:hAnsi="Times New Roman" w:cs="Times New Roman"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34141485"/>
    <w:multiLevelType w:val="hybridMultilevel"/>
    <w:tmpl w:val="F7EA7C3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46475AE7"/>
    <w:multiLevelType w:val="hybridMultilevel"/>
    <w:tmpl w:val="186E7672"/>
    <w:lvl w:ilvl="0" w:tplc="FC8AD8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FA50B62"/>
    <w:multiLevelType w:val="hybridMultilevel"/>
    <w:tmpl w:val="107E28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A461A9"/>
    <w:multiLevelType w:val="hybridMultilevel"/>
    <w:tmpl w:val="9A7E431C"/>
    <w:lvl w:ilvl="0" w:tplc="2EAE3276">
      <w:start w:val="1"/>
      <w:numFmt w:val="decimal"/>
      <w:lvlText w:val="%1."/>
      <w:lvlJc w:val="left"/>
      <w:pPr>
        <w:tabs>
          <w:tab w:val="num" w:pos="643"/>
        </w:tabs>
        <w:ind w:left="643" w:hanging="360"/>
      </w:pPr>
      <w:rPr>
        <w:rFonts w:hint="default"/>
      </w:rPr>
    </w:lvl>
    <w:lvl w:ilvl="1" w:tplc="04050005">
      <w:start w:val="1"/>
      <w:numFmt w:val="bullet"/>
      <w:lvlText w:val=""/>
      <w:lvlJc w:val="left"/>
      <w:pPr>
        <w:ind w:left="1378" w:hanging="375"/>
      </w:pPr>
      <w:rPr>
        <w:rFonts w:ascii="Wingdings" w:hAnsi="Wingding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7"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71940A23"/>
    <w:multiLevelType w:val="hybridMultilevel"/>
    <w:tmpl w:val="229C405C"/>
    <w:lvl w:ilvl="0" w:tplc="FC8AD8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542C5B"/>
    <w:multiLevelType w:val="hybridMultilevel"/>
    <w:tmpl w:val="9F0E86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9"/>
  </w:num>
  <w:num w:numId="6">
    <w:abstractNumId w:val="5"/>
  </w:num>
  <w:num w:numId="7">
    <w:abstractNumId w:val="3"/>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F2"/>
    <w:rsid w:val="00000CF2"/>
    <w:rsid w:val="0000139C"/>
    <w:rsid w:val="00014691"/>
    <w:rsid w:val="000201C3"/>
    <w:rsid w:val="00047D7F"/>
    <w:rsid w:val="000739C7"/>
    <w:rsid w:val="000741B5"/>
    <w:rsid w:val="00074908"/>
    <w:rsid w:val="00074B70"/>
    <w:rsid w:val="00075944"/>
    <w:rsid w:val="000A7840"/>
    <w:rsid w:val="000C764C"/>
    <w:rsid w:val="000D7B34"/>
    <w:rsid w:val="000E0E3E"/>
    <w:rsid w:val="000E4413"/>
    <w:rsid w:val="000F4914"/>
    <w:rsid w:val="000F4F74"/>
    <w:rsid w:val="00115F5E"/>
    <w:rsid w:val="00117AF1"/>
    <w:rsid w:val="00126E70"/>
    <w:rsid w:val="00137423"/>
    <w:rsid w:val="0014455D"/>
    <w:rsid w:val="00152B76"/>
    <w:rsid w:val="001641F7"/>
    <w:rsid w:val="00190359"/>
    <w:rsid w:val="00197AED"/>
    <w:rsid w:val="001B52BD"/>
    <w:rsid w:val="001B6200"/>
    <w:rsid w:val="001C25F2"/>
    <w:rsid w:val="001C4784"/>
    <w:rsid w:val="001D6890"/>
    <w:rsid w:val="001E0D01"/>
    <w:rsid w:val="001E1DC9"/>
    <w:rsid w:val="001F3FF2"/>
    <w:rsid w:val="0020752A"/>
    <w:rsid w:val="00207AED"/>
    <w:rsid w:val="002320EE"/>
    <w:rsid w:val="002369C0"/>
    <w:rsid w:val="00242E0C"/>
    <w:rsid w:val="00253B03"/>
    <w:rsid w:val="0026154B"/>
    <w:rsid w:val="002826E0"/>
    <w:rsid w:val="002902FE"/>
    <w:rsid w:val="0029545D"/>
    <w:rsid w:val="00296280"/>
    <w:rsid w:val="002A2F61"/>
    <w:rsid w:val="002B7D90"/>
    <w:rsid w:val="002C7A68"/>
    <w:rsid w:val="002E6572"/>
    <w:rsid w:val="0031167A"/>
    <w:rsid w:val="00312A64"/>
    <w:rsid w:val="003209A8"/>
    <w:rsid w:val="00337BC9"/>
    <w:rsid w:val="00343672"/>
    <w:rsid w:val="00346674"/>
    <w:rsid w:val="00346CDC"/>
    <w:rsid w:val="00347970"/>
    <w:rsid w:val="00352DAD"/>
    <w:rsid w:val="00376A48"/>
    <w:rsid w:val="00377935"/>
    <w:rsid w:val="003877DE"/>
    <w:rsid w:val="003A05DE"/>
    <w:rsid w:val="003A46A5"/>
    <w:rsid w:val="003A4C47"/>
    <w:rsid w:val="003A63ED"/>
    <w:rsid w:val="003B2E3F"/>
    <w:rsid w:val="003C2542"/>
    <w:rsid w:val="003D1EF5"/>
    <w:rsid w:val="00404AFE"/>
    <w:rsid w:val="00404B79"/>
    <w:rsid w:val="00406833"/>
    <w:rsid w:val="0041251E"/>
    <w:rsid w:val="0041778E"/>
    <w:rsid w:val="00422061"/>
    <w:rsid w:val="00424327"/>
    <w:rsid w:val="004340F7"/>
    <w:rsid w:val="00436755"/>
    <w:rsid w:val="004403D9"/>
    <w:rsid w:val="00440BFC"/>
    <w:rsid w:val="004506BF"/>
    <w:rsid w:val="0045458E"/>
    <w:rsid w:val="00472694"/>
    <w:rsid w:val="00475713"/>
    <w:rsid w:val="00476AFA"/>
    <w:rsid w:val="004936F8"/>
    <w:rsid w:val="00493BEE"/>
    <w:rsid w:val="004B4740"/>
    <w:rsid w:val="004C095B"/>
    <w:rsid w:val="004C2ABF"/>
    <w:rsid w:val="004C5C7D"/>
    <w:rsid w:val="004C711D"/>
    <w:rsid w:val="004D31E8"/>
    <w:rsid w:val="004E1592"/>
    <w:rsid w:val="004E3A8C"/>
    <w:rsid w:val="0050445C"/>
    <w:rsid w:val="005263D4"/>
    <w:rsid w:val="00541678"/>
    <w:rsid w:val="0057088E"/>
    <w:rsid w:val="00573AF5"/>
    <w:rsid w:val="00582D58"/>
    <w:rsid w:val="00585F4E"/>
    <w:rsid w:val="00590701"/>
    <w:rsid w:val="005A0BE7"/>
    <w:rsid w:val="005C110B"/>
    <w:rsid w:val="005D2C33"/>
    <w:rsid w:val="005E0DBC"/>
    <w:rsid w:val="005E3940"/>
    <w:rsid w:val="0060672B"/>
    <w:rsid w:val="00607D0B"/>
    <w:rsid w:val="00612883"/>
    <w:rsid w:val="00626014"/>
    <w:rsid w:val="006347A3"/>
    <w:rsid w:val="006373FD"/>
    <w:rsid w:val="00650DC6"/>
    <w:rsid w:val="006530F8"/>
    <w:rsid w:val="00657912"/>
    <w:rsid w:val="006709BE"/>
    <w:rsid w:val="00680368"/>
    <w:rsid w:val="00694FF3"/>
    <w:rsid w:val="00697611"/>
    <w:rsid w:val="006B3D99"/>
    <w:rsid w:val="006C2E97"/>
    <w:rsid w:val="006D1866"/>
    <w:rsid w:val="006E683C"/>
    <w:rsid w:val="006F46BE"/>
    <w:rsid w:val="006F71FA"/>
    <w:rsid w:val="00723ABD"/>
    <w:rsid w:val="00734202"/>
    <w:rsid w:val="00746467"/>
    <w:rsid w:val="00750896"/>
    <w:rsid w:val="007545CB"/>
    <w:rsid w:val="00756681"/>
    <w:rsid w:val="00763724"/>
    <w:rsid w:val="007877B1"/>
    <w:rsid w:val="00790FDE"/>
    <w:rsid w:val="007A0180"/>
    <w:rsid w:val="007A2766"/>
    <w:rsid w:val="007B2097"/>
    <w:rsid w:val="007B40DF"/>
    <w:rsid w:val="007B423D"/>
    <w:rsid w:val="007B573B"/>
    <w:rsid w:val="007C7062"/>
    <w:rsid w:val="007C79AB"/>
    <w:rsid w:val="007E147E"/>
    <w:rsid w:val="008014BF"/>
    <w:rsid w:val="008022DB"/>
    <w:rsid w:val="00805DBE"/>
    <w:rsid w:val="00812DC8"/>
    <w:rsid w:val="00813C87"/>
    <w:rsid w:val="00813F18"/>
    <w:rsid w:val="008341A2"/>
    <w:rsid w:val="00837308"/>
    <w:rsid w:val="008606EB"/>
    <w:rsid w:val="008607A8"/>
    <w:rsid w:val="00866805"/>
    <w:rsid w:val="008671B9"/>
    <w:rsid w:val="0089382C"/>
    <w:rsid w:val="00897B60"/>
    <w:rsid w:val="008A10F3"/>
    <w:rsid w:val="008B5D57"/>
    <w:rsid w:val="008C3EA1"/>
    <w:rsid w:val="008D31C8"/>
    <w:rsid w:val="008E1C72"/>
    <w:rsid w:val="008E433B"/>
    <w:rsid w:val="00901109"/>
    <w:rsid w:val="00901AC0"/>
    <w:rsid w:val="00921D1C"/>
    <w:rsid w:val="00924E27"/>
    <w:rsid w:val="009273FA"/>
    <w:rsid w:val="00927D25"/>
    <w:rsid w:val="00940364"/>
    <w:rsid w:val="009432A2"/>
    <w:rsid w:val="00963A49"/>
    <w:rsid w:val="009732A4"/>
    <w:rsid w:val="009754A9"/>
    <w:rsid w:val="009B0B46"/>
    <w:rsid w:val="009B24BC"/>
    <w:rsid w:val="009B754C"/>
    <w:rsid w:val="009C041D"/>
    <w:rsid w:val="009C0E44"/>
    <w:rsid w:val="009C7427"/>
    <w:rsid w:val="009C745E"/>
    <w:rsid w:val="009F67CF"/>
    <w:rsid w:val="00A03EBA"/>
    <w:rsid w:val="00A14369"/>
    <w:rsid w:val="00A50F54"/>
    <w:rsid w:val="00A5432B"/>
    <w:rsid w:val="00A85D6D"/>
    <w:rsid w:val="00A900E0"/>
    <w:rsid w:val="00A90A55"/>
    <w:rsid w:val="00A95901"/>
    <w:rsid w:val="00AA21A0"/>
    <w:rsid w:val="00AB2E7E"/>
    <w:rsid w:val="00AF3CE0"/>
    <w:rsid w:val="00AF6B9C"/>
    <w:rsid w:val="00B008B1"/>
    <w:rsid w:val="00B30B97"/>
    <w:rsid w:val="00B348CC"/>
    <w:rsid w:val="00B467AF"/>
    <w:rsid w:val="00B47893"/>
    <w:rsid w:val="00B5234B"/>
    <w:rsid w:val="00B842D6"/>
    <w:rsid w:val="00B93E61"/>
    <w:rsid w:val="00B96214"/>
    <w:rsid w:val="00BC2286"/>
    <w:rsid w:val="00BD7D13"/>
    <w:rsid w:val="00BE5B91"/>
    <w:rsid w:val="00BF6B03"/>
    <w:rsid w:val="00C02517"/>
    <w:rsid w:val="00C1601D"/>
    <w:rsid w:val="00C21C5B"/>
    <w:rsid w:val="00C313D3"/>
    <w:rsid w:val="00C34335"/>
    <w:rsid w:val="00C431C5"/>
    <w:rsid w:val="00C62FE2"/>
    <w:rsid w:val="00C651AB"/>
    <w:rsid w:val="00C83FCC"/>
    <w:rsid w:val="00C84F1F"/>
    <w:rsid w:val="00C87E59"/>
    <w:rsid w:val="00C94A74"/>
    <w:rsid w:val="00C952C2"/>
    <w:rsid w:val="00CA45B6"/>
    <w:rsid w:val="00CA5028"/>
    <w:rsid w:val="00CA7AEA"/>
    <w:rsid w:val="00CB11CC"/>
    <w:rsid w:val="00CC0E3F"/>
    <w:rsid w:val="00CC51D0"/>
    <w:rsid w:val="00CC668E"/>
    <w:rsid w:val="00CD519D"/>
    <w:rsid w:val="00CE41CB"/>
    <w:rsid w:val="00CE79CE"/>
    <w:rsid w:val="00D00A70"/>
    <w:rsid w:val="00D144B0"/>
    <w:rsid w:val="00D16647"/>
    <w:rsid w:val="00D22344"/>
    <w:rsid w:val="00D32776"/>
    <w:rsid w:val="00D33884"/>
    <w:rsid w:val="00D43E27"/>
    <w:rsid w:val="00D505DD"/>
    <w:rsid w:val="00D67FF6"/>
    <w:rsid w:val="00DB0B60"/>
    <w:rsid w:val="00DB58D0"/>
    <w:rsid w:val="00DD2D89"/>
    <w:rsid w:val="00DD6D2D"/>
    <w:rsid w:val="00DF2EDB"/>
    <w:rsid w:val="00DF5BE8"/>
    <w:rsid w:val="00E01556"/>
    <w:rsid w:val="00E04DC5"/>
    <w:rsid w:val="00E14282"/>
    <w:rsid w:val="00E14F9F"/>
    <w:rsid w:val="00E21778"/>
    <w:rsid w:val="00E21808"/>
    <w:rsid w:val="00E46648"/>
    <w:rsid w:val="00E52BCB"/>
    <w:rsid w:val="00E71578"/>
    <w:rsid w:val="00E76E14"/>
    <w:rsid w:val="00E86081"/>
    <w:rsid w:val="00E91F42"/>
    <w:rsid w:val="00EA659F"/>
    <w:rsid w:val="00EC216F"/>
    <w:rsid w:val="00ED100D"/>
    <w:rsid w:val="00ED2D9B"/>
    <w:rsid w:val="00ED7602"/>
    <w:rsid w:val="00EE797E"/>
    <w:rsid w:val="00F000D1"/>
    <w:rsid w:val="00F030F5"/>
    <w:rsid w:val="00F06370"/>
    <w:rsid w:val="00F35E59"/>
    <w:rsid w:val="00F423EC"/>
    <w:rsid w:val="00F4530B"/>
    <w:rsid w:val="00F567D2"/>
    <w:rsid w:val="00F77C59"/>
    <w:rsid w:val="00F83953"/>
    <w:rsid w:val="00F93724"/>
    <w:rsid w:val="00FA33AA"/>
    <w:rsid w:val="00FC7B29"/>
    <w:rsid w:val="00FF6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CAB8C"/>
  <w15:chartTrackingRefBased/>
  <w15:docId w15:val="{287FF3D7-A902-401D-A730-5A313028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732A4"/>
    <w:pPr>
      <w:keepNext/>
      <w:numPr>
        <w:numId w:val="11"/>
      </w:numPr>
      <w:spacing w:after="0" w:line="240" w:lineRule="auto"/>
      <w:jc w:val="both"/>
      <w:outlineLvl w:val="0"/>
    </w:pPr>
    <w:rPr>
      <w:rFonts w:ascii="Times New Roman" w:eastAsia="Times New Roman" w:hAnsi="Times New Roman" w:cs="Times New Roman"/>
      <w:b/>
      <w:bCs/>
      <w:kern w:val="32"/>
      <w:sz w:val="24"/>
      <w:szCs w:val="32"/>
      <w:lang w:eastAsia="cs-CZ"/>
    </w:rPr>
  </w:style>
  <w:style w:type="paragraph" w:styleId="Nadpis2">
    <w:name w:val="heading 2"/>
    <w:basedOn w:val="Normln"/>
    <w:next w:val="Normln"/>
    <w:link w:val="Nadpis2Char"/>
    <w:qFormat/>
    <w:rsid w:val="009732A4"/>
    <w:pPr>
      <w:keepNext/>
      <w:numPr>
        <w:ilvl w:val="1"/>
        <w:numId w:val="11"/>
      </w:numPr>
      <w:spacing w:after="0" w:line="240" w:lineRule="auto"/>
      <w:jc w:val="both"/>
      <w:outlineLvl w:val="1"/>
    </w:pPr>
    <w:rPr>
      <w:rFonts w:ascii="Times New Roman" w:eastAsia="Times New Roman" w:hAnsi="Times New Roman" w:cs="Times New Roman"/>
      <w:b/>
      <w:sz w:val="24"/>
      <w:szCs w:val="24"/>
      <w:lang w:eastAsia="cs-CZ"/>
    </w:rPr>
  </w:style>
  <w:style w:type="paragraph" w:styleId="Nadpis3">
    <w:name w:val="heading 3"/>
    <w:basedOn w:val="Normln"/>
    <w:next w:val="Normln"/>
    <w:link w:val="Nadpis3Char"/>
    <w:qFormat/>
    <w:rsid w:val="009732A4"/>
    <w:pPr>
      <w:numPr>
        <w:ilvl w:val="2"/>
        <w:numId w:val="11"/>
      </w:numPr>
      <w:spacing w:after="0" w:line="240" w:lineRule="auto"/>
      <w:jc w:val="both"/>
      <w:outlineLvl w:val="2"/>
    </w:pPr>
    <w:rPr>
      <w:rFonts w:ascii="Times New Roman" w:eastAsia="Times New Roman" w:hAnsi="Times New Roman" w:cs="Times New Roman"/>
      <w:b/>
      <w:sz w:val="24"/>
      <w:szCs w:val="24"/>
      <w:lang w:eastAsia="cs-CZ"/>
    </w:rPr>
  </w:style>
  <w:style w:type="paragraph" w:styleId="Nadpis4">
    <w:name w:val="heading 4"/>
    <w:basedOn w:val="Normln"/>
    <w:next w:val="Normln"/>
    <w:link w:val="Nadpis4Char"/>
    <w:semiHidden/>
    <w:unhideWhenUsed/>
    <w:qFormat/>
    <w:rsid w:val="009732A4"/>
    <w:pPr>
      <w:keepNext/>
      <w:keepLines/>
      <w:numPr>
        <w:ilvl w:val="3"/>
        <w:numId w:val="11"/>
      </w:numPr>
      <w:spacing w:before="40" w:after="0" w:line="240" w:lineRule="auto"/>
      <w:jc w:val="both"/>
      <w:outlineLvl w:val="3"/>
    </w:pPr>
    <w:rPr>
      <w:rFonts w:asciiTheme="majorHAnsi" w:eastAsiaTheme="majorEastAsia" w:hAnsiTheme="majorHAnsi" w:cstheme="majorBidi"/>
      <w:i/>
      <w:iCs/>
      <w:color w:val="2E74B5" w:themeColor="accent1" w:themeShade="BF"/>
      <w:sz w:val="24"/>
      <w:szCs w:val="24"/>
      <w:lang w:eastAsia="cs-CZ"/>
    </w:rPr>
  </w:style>
  <w:style w:type="paragraph" w:styleId="Nadpis5">
    <w:name w:val="heading 5"/>
    <w:basedOn w:val="Normln"/>
    <w:next w:val="Normln"/>
    <w:link w:val="Nadpis5Char"/>
    <w:semiHidden/>
    <w:unhideWhenUsed/>
    <w:qFormat/>
    <w:rsid w:val="009732A4"/>
    <w:pPr>
      <w:keepNext/>
      <w:keepLines/>
      <w:numPr>
        <w:ilvl w:val="4"/>
        <w:numId w:val="11"/>
      </w:numPr>
      <w:spacing w:before="40" w:after="0" w:line="240" w:lineRule="auto"/>
      <w:jc w:val="both"/>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semiHidden/>
    <w:unhideWhenUsed/>
    <w:qFormat/>
    <w:rsid w:val="009732A4"/>
    <w:pPr>
      <w:keepNext/>
      <w:keepLines/>
      <w:numPr>
        <w:ilvl w:val="5"/>
        <w:numId w:val="11"/>
      </w:numPr>
      <w:spacing w:before="40" w:after="0" w:line="240" w:lineRule="auto"/>
      <w:jc w:val="both"/>
      <w:outlineLvl w:val="5"/>
    </w:pPr>
    <w:rPr>
      <w:rFonts w:asciiTheme="majorHAnsi" w:eastAsiaTheme="majorEastAsia" w:hAnsiTheme="majorHAnsi" w:cstheme="majorBidi"/>
      <w:color w:val="1F4D78" w:themeColor="accent1" w:themeShade="7F"/>
      <w:sz w:val="24"/>
      <w:szCs w:val="24"/>
      <w:lang w:eastAsia="cs-CZ"/>
    </w:rPr>
  </w:style>
  <w:style w:type="paragraph" w:styleId="Nadpis7">
    <w:name w:val="heading 7"/>
    <w:basedOn w:val="Normln"/>
    <w:next w:val="Normln"/>
    <w:link w:val="Nadpis7Char"/>
    <w:semiHidden/>
    <w:unhideWhenUsed/>
    <w:qFormat/>
    <w:rsid w:val="009732A4"/>
    <w:pPr>
      <w:keepNext/>
      <w:keepLines/>
      <w:numPr>
        <w:ilvl w:val="6"/>
        <w:numId w:val="11"/>
      </w:numPr>
      <w:spacing w:before="40" w:after="0" w:line="240" w:lineRule="auto"/>
      <w:jc w:val="both"/>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9732A4"/>
    <w:pPr>
      <w:keepNext/>
      <w:keepLines/>
      <w:numPr>
        <w:ilvl w:val="7"/>
        <w:numId w:val="11"/>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9732A4"/>
    <w:pPr>
      <w:keepNext/>
      <w:keepLines/>
      <w:numPr>
        <w:ilvl w:val="8"/>
        <w:numId w:val="1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1AC0"/>
    <w:pPr>
      <w:ind w:left="720"/>
      <w:contextualSpacing/>
    </w:pPr>
  </w:style>
  <w:style w:type="character" w:styleId="Hypertextovodkaz">
    <w:name w:val="Hyperlink"/>
    <w:basedOn w:val="Standardnpsmoodstavce"/>
    <w:uiPriority w:val="99"/>
    <w:rsid w:val="008022DB"/>
    <w:rPr>
      <w:color w:val="0563C1" w:themeColor="hyperlink"/>
      <w:u w:val="single"/>
    </w:rPr>
  </w:style>
  <w:style w:type="table" w:styleId="Mkatabulky">
    <w:name w:val="Table Grid"/>
    <w:basedOn w:val="Normlntabulka"/>
    <w:rsid w:val="00ED760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rsid w:val="00750896"/>
    <w:pPr>
      <w:numPr>
        <w:numId w:val="7"/>
      </w:numPr>
      <w:spacing w:after="0" w:line="240" w:lineRule="auto"/>
      <w:jc w:val="both"/>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9732A4"/>
    <w:rPr>
      <w:rFonts w:ascii="Times New Roman" w:eastAsia="Times New Roman" w:hAnsi="Times New Roman" w:cs="Times New Roman"/>
      <w:b/>
      <w:bCs/>
      <w:kern w:val="32"/>
      <w:sz w:val="24"/>
      <w:szCs w:val="32"/>
      <w:lang w:eastAsia="cs-CZ"/>
    </w:rPr>
  </w:style>
  <w:style w:type="character" w:customStyle="1" w:styleId="Nadpis2Char">
    <w:name w:val="Nadpis 2 Char"/>
    <w:basedOn w:val="Standardnpsmoodstavce"/>
    <w:link w:val="Nadpis2"/>
    <w:rsid w:val="009732A4"/>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9732A4"/>
    <w:rPr>
      <w:rFonts w:ascii="Times New Roman" w:eastAsia="Times New Roman" w:hAnsi="Times New Roman" w:cs="Times New Roman"/>
      <w:b/>
      <w:sz w:val="24"/>
      <w:szCs w:val="24"/>
      <w:lang w:eastAsia="cs-CZ"/>
    </w:rPr>
  </w:style>
  <w:style w:type="character" w:customStyle="1" w:styleId="Nadpis4Char">
    <w:name w:val="Nadpis 4 Char"/>
    <w:basedOn w:val="Standardnpsmoodstavce"/>
    <w:link w:val="Nadpis4"/>
    <w:semiHidden/>
    <w:rsid w:val="009732A4"/>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semiHidden/>
    <w:rsid w:val="009732A4"/>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semiHidden/>
    <w:rsid w:val="009732A4"/>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semiHidden/>
    <w:rsid w:val="009732A4"/>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9732A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9732A4"/>
    <w:rPr>
      <w:rFonts w:asciiTheme="majorHAnsi" w:eastAsiaTheme="majorEastAsia" w:hAnsiTheme="majorHAnsi" w:cstheme="majorBidi"/>
      <w:i/>
      <w:iCs/>
      <w:color w:val="272727" w:themeColor="text1" w:themeTint="D8"/>
      <w:sz w:val="21"/>
      <w:szCs w:val="21"/>
      <w:lang w:eastAsia="cs-CZ"/>
    </w:rPr>
  </w:style>
  <w:style w:type="paragraph" w:styleId="Textpoznpodarou">
    <w:name w:val="footnote text"/>
    <w:basedOn w:val="Normln"/>
    <w:link w:val="TextpoznpodarouChar"/>
    <w:uiPriority w:val="99"/>
    <w:unhideWhenUsed/>
    <w:rsid w:val="00734202"/>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734202"/>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734202"/>
    <w:rPr>
      <w:vertAlign w:val="superscript"/>
    </w:rPr>
  </w:style>
  <w:style w:type="paragraph" w:styleId="Zhlav">
    <w:name w:val="header"/>
    <w:basedOn w:val="Normln"/>
    <w:link w:val="ZhlavChar"/>
    <w:uiPriority w:val="99"/>
    <w:unhideWhenUsed/>
    <w:rsid w:val="00C83F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3FCC"/>
  </w:style>
  <w:style w:type="paragraph" w:styleId="Zpat">
    <w:name w:val="footer"/>
    <w:basedOn w:val="Normln"/>
    <w:link w:val="ZpatChar"/>
    <w:uiPriority w:val="99"/>
    <w:unhideWhenUsed/>
    <w:rsid w:val="00C83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vzdelavani/skolstvi-v-cr/ekonomika-skolstvi/financni-prostredky-stanovene-ministerstvem-pro-skoly-a-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3C44-15B8-4E62-882D-5E54B9A9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3095</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Čermáková Monika</dc:creator>
  <cp:keywords/>
  <dc:description/>
  <cp:lastModifiedBy>Maryšková Andrea</cp:lastModifiedBy>
  <cp:revision>2</cp:revision>
  <dcterms:created xsi:type="dcterms:W3CDTF">2021-12-15T13:11:00Z</dcterms:created>
  <dcterms:modified xsi:type="dcterms:W3CDTF">2021-12-15T13:11:00Z</dcterms:modified>
</cp:coreProperties>
</file>